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869" w:rsidRPr="00BD3BE5" w:rsidRDefault="00BF34C3" w:rsidP="00571AD0">
      <w:pPr>
        <w:spacing w:after="0" w:line="240" w:lineRule="auto"/>
        <w:jc w:val="center"/>
        <w:rPr>
          <w:b/>
          <w:bCs/>
          <w:lang w:bidi="ar-JO"/>
        </w:rPr>
      </w:pPr>
      <w:r w:rsidRPr="00BD3BE5">
        <w:rPr>
          <w:b/>
          <w:bCs/>
          <w:lang w:bidi="ar-JO"/>
        </w:rPr>
        <w:t xml:space="preserve">The </w:t>
      </w:r>
      <w:r w:rsidR="003C6869" w:rsidRPr="00BD3BE5">
        <w:rPr>
          <w:b/>
          <w:bCs/>
          <w:lang w:bidi="ar-JO"/>
        </w:rPr>
        <w:t>Existence of</w:t>
      </w:r>
      <w:r w:rsidRPr="00BD3BE5">
        <w:rPr>
          <w:b/>
          <w:bCs/>
          <w:lang w:bidi="ar-JO"/>
        </w:rPr>
        <w:t xml:space="preserve"> fraud indicators in insurance</w:t>
      </w:r>
      <w:r w:rsidR="003C6869" w:rsidRPr="00BD3BE5">
        <w:rPr>
          <w:b/>
          <w:bCs/>
          <w:lang w:bidi="ar-JO"/>
        </w:rPr>
        <w:t xml:space="preserve"> Industry:</w:t>
      </w:r>
    </w:p>
    <w:p w:rsidR="00BF34C3" w:rsidRDefault="003C6869" w:rsidP="00571AD0">
      <w:pPr>
        <w:spacing w:after="0" w:line="240" w:lineRule="auto"/>
        <w:jc w:val="center"/>
        <w:rPr>
          <w:b/>
          <w:bCs/>
          <w:lang w:bidi="ar-JO"/>
        </w:rPr>
      </w:pPr>
      <w:r w:rsidRPr="00BD3BE5">
        <w:rPr>
          <w:b/>
          <w:bCs/>
          <w:lang w:bidi="ar-JO"/>
        </w:rPr>
        <w:t>Case of Jordan</w:t>
      </w:r>
    </w:p>
    <w:p w:rsidR="00C153C9" w:rsidRDefault="00C153C9" w:rsidP="00571AD0">
      <w:pPr>
        <w:spacing w:after="0" w:line="240" w:lineRule="auto"/>
        <w:jc w:val="center"/>
        <w:rPr>
          <w:b/>
          <w:bCs/>
          <w:lang w:bidi="ar-JO"/>
        </w:rPr>
      </w:pPr>
    </w:p>
    <w:p w:rsidR="00C153C9" w:rsidRPr="0073492F" w:rsidRDefault="00C153C9" w:rsidP="00C153C9">
      <w:pPr>
        <w:spacing w:after="0" w:line="240" w:lineRule="auto"/>
        <w:jc w:val="center"/>
        <w:rPr>
          <w:rFonts w:eastAsia="Times New Roman" w:cs="Aparajita"/>
          <w:sz w:val="20"/>
          <w:szCs w:val="20"/>
        </w:rPr>
      </w:pPr>
      <w:r w:rsidRPr="0073492F">
        <w:rPr>
          <w:rFonts w:eastAsia="Times New Roman" w:cs="Aparajita"/>
          <w:sz w:val="20"/>
          <w:szCs w:val="20"/>
        </w:rPr>
        <w:t xml:space="preserve">Associate Prof. </w:t>
      </w:r>
      <w:proofErr w:type="spellStart"/>
      <w:r w:rsidRPr="0073492F">
        <w:rPr>
          <w:rFonts w:eastAsia="Times New Roman" w:cs="Aparajita"/>
          <w:sz w:val="20"/>
          <w:szCs w:val="20"/>
        </w:rPr>
        <w:t>Firas</w:t>
      </w:r>
      <w:proofErr w:type="spellEnd"/>
      <w:r w:rsidRPr="0073492F">
        <w:rPr>
          <w:rFonts w:eastAsia="Times New Roman" w:cs="Aparajita"/>
          <w:sz w:val="20"/>
          <w:szCs w:val="20"/>
        </w:rPr>
        <w:t xml:space="preserve"> Al </w:t>
      </w:r>
      <w:proofErr w:type="spellStart"/>
      <w:r w:rsidRPr="0073492F">
        <w:rPr>
          <w:rFonts w:eastAsia="Times New Roman" w:cs="Aparajita"/>
          <w:sz w:val="20"/>
          <w:szCs w:val="20"/>
        </w:rPr>
        <w:t>rawashdeh</w:t>
      </w:r>
      <w:proofErr w:type="spellEnd"/>
    </w:p>
    <w:p w:rsidR="00C153C9" w:rsidRPr="0073492F" w:rsidRDefault="00C153C9" w:rsidP="00C153C9">
      <w:pPr>
        <w:spacing w:after="0" w:line="240" w:lineRule="auto"/>
        <w:jc w:val="center"/>
        <w:rPr>
          <w:rFonts w:eastAsia="Times New Roman" w:cs="Aparajita"/>
          <w:sz w:val="20"/>
          <w:szCs w:val="20"/>
        </w:rPr>
      </w:pPr>
      <w:r w:rsidRPr="0073492F">
        <w:rPr>
          <w:rFonts w:eastAsia="Times New Roman" w:cs="Aparajita"/>
          <w:sz w:val="20"/>
          <w:szCs w:val="20"/>
        </w:rPr>
        <w:t>Faculty of Management and Finance, Department of Risk Management and Insurance.</w:t>
      </w:r>
    </w:p>
    <w:p w:rsidR="001E5E30" w:rsidRPr="0073492F" w:rsidRDefault="00C153C9" w:rsidP="001E5E30">
      <w:pPr>
        <w:spacing w:after="0" w:line="240" w:lineRule="auto"/>
        <w:jc w:val="center"/>
        <w:rPr>
          <w:rFonts w:eastAsia="Times New Roman" w:cs="Aparajita"/>
          <w:sz w:val="20"/>
          <w:szCs w:val="20"/>
        </w:rPr>
      </w:pPr>
      <w:r w:rsidRPr="0073492F">
        <w:rPr>
          <w:rFonts w:eastAsia="Times New Roman" w:cs="Aparajita"/>
          <w:sz w:val="20"/>
          <w:szCs w:val="20"/>
        </w:rPr>
        <w:t xml:space="preserve"> The University of Jordan</w:t>
      </w:r>
      <w:r w:rsidR="001E5E30" w:rsidRPr="0073492F">
        <w:rPr>
          <w:rFonts w:eastAsia="Times New Roman" w:cs="Aparajita"/>
          <w:sz w:val="20"/>
          <w:szCs w:val="20"/>
        </w:rPr>
        <w:t>.</w:t>
      </w:r>
    </w:p>
    <w:p w:rsidR="00C153C9" w:rsidRPr="0073492F" w:rsidRDefault="00C153C9" w:rsidP="001E5E30">
      <w:pPr>
        <w:spacing w:after="0" w:line="240" w:lineRule="auto"/>
        <w:jc w:val="center"/>
        <w:rPr>
          <w:rFonts w:eastAsia="Times New Roman" w:cs="Aparajita"/>
          <w:sz w:val="20"/>
          <w:szCs w:val="20"/>
        </w:rPr>
      </w:pPr>
      <w:r w:rsidRPr="0073492F">
        <w:rPr>
          <w:rFonts w:eastAsia="Times New Roman" w:cs="Aparajita"/>
          <w:sz w:val="20"/>
          <w:szCs w:val="20"/>
        </w:rPr>
        <w:t xml:space="preserve"> </w:t>
      </w:r>
      <w:hyperlink r:id="rId9" w:history="1">
        <w:r w:rsidRPr="0073492F">
          <w:rPr>
            <w:rFonts w:eastAsia="Times New Roman" w:cs="Aparajita"/>
            <w:sz w:val="20"/>
            <w:szCs w:val="20"/>
          </w:rPr>
          <w:t>f_rawashdeh@ju.edu.jo</w:t>
        </w:r>
      </w:hyperlink>
    </w:p>
    <w:p w:rsidR="00C153C9" w:rsidRPr="0073492F" w:rsidRDefault="00C153C9" w:rsidP="00C153C9">
      <w:pPr>
        <w:spacing w:after="0" w:line="240" w:lineRule="auto"/>
        <w:jc w:val="center"/>
        <w:rPr>
          <w:rFonts w:eastAsia="Times New Roman" w:cs="Aparajita"/>
          <w:sz w:val="20"/>
          <w:szCs w:val="20"/>
        </w:rPr>
      </w:pPr>
    </w:p>
    <w:p w:rsidR="001E5E30" w:rsidRPr="0073492F" w:rsidRDefault="001E5E30" w:rsidP="001E5E30">
      <w:pPr>
        <w:spacing w:after="0" w:line="240" w:lineRule="auto"/>
        <w:jc w:val="center"/>
        <w:rPr>
          <w:rFonts w:eastAsia="Times New Roman" w:cs="Aparajita"/>
          <w:sz w:val="20"/>
          <w:szCs w:val="20"/>
        </w:rPr>
      </w:pPr>
      <w:r w:rsidRPr="0073492F">
        <w:rPr>
          <w:rFonts w:eastAsia="Times New Roman" w:cs="Aparajita"/>
          <w:sz w:val="20"/>
          <w:szCs w:val="20"/>
        </w:rPr>
        <w:t xml:space="preserve">Assistant Prof. Dr. Omar Al </w:t>
      </w:r>
      <w:proofErr w:type="spellStart"/>
      <w:r w:rsidRPr="0073492F">
        <w:rPr>
          <w:rFonts w:eastAsia="Times New Roman" w:cs="Aparajita"/>
          <w:sz w:val="20"/>
          <w:szCs w:val="20"/>
        </w:rPr>
        <w:t>Singlawi</w:t>
      </w:r>
      <w:proofErr w:type="spellEnd"/>
    </w:p>
    <w:p w:rsidR="001E5E30" w:rsidRPr="0073492F" w:rsidRDefault="001E5E30" w:rsidP="001E5E30">
      <w:pPr>
        <w:spacing w:after="0" w:line="240" w:lineRule="auto"/>
        <w:jc w:val="center"/>
        <w:rPr>
          <w:rFonts w:eastAsia="Times New Roman" w:cs="Aparajita"/>
          <w:sz w:val="20"/>
          <w:szCs w:val="20"/>
        </w:rPr>
      </w:pPr>
      <w:r w:rsidRPr="0073492F">
        <w:rPr>
          <w:rFonts w:eastAsia="Times New Roman" w:cs="Aparajita"/>
          <w:sz w:val="20"/>
          <w:szCs w:val="20"/>
        </w:rPr>
        <w:t>Faculty of Management and Finance, The University of Jordan</w:t>
      </w:r>
    </w:p>
    <w:p w:rsidR="001E5E30" w:rsidRPr="0073492F" w:rsidRDefault="001E5E30" w:rsidP="001E5E30">
      <w:pPr>
        <w:spacing w:after="0" w:line="240" w:lineRule="auto"/>
        <w:jc w:val="center"/>
        <w:rPr>
          <w:rFonts w:eastAsia="Times New Roman" w:cs="Aparajita"/>
          <w:sz w:val="20"/>
          <w:szCs w:val="20"/>
        </w:rPr>
      </w:pPr>
      <w:r w:rsidRPr="0073492F">
        <w:rPr>
          <w:rFonts w:eastAsia="Times New Roman" w:cs="Aparajita"/>
          <w:sz w:val="20"/>
          <w:szCs w:val="20"/>
        </w:rPr>
        <w:t>o.alsinglawi@ju.edu.jo</w:t>
      </w:r>
    </w:p>
    <w:p w:rsidR="001E5E30" w:rsidRDefault="001E5E30" w:rsidP="001E5E30">
      <w:pPr>
        <w:spacing w:after="0" w:line="240" w:lineRule="auto"/>
        <w:jc w:val="center"/>
        <w:rPr>
          <w:rFonts w:eastAsia="Calibri" w:cs="Calibri"/>
          <w:lang w:val="en-IN" w:eastAsia="en-IN"/>
        </w:rPr>
      </w:pPr>
    </w:p>
    <w:p w:rsidR="00726F3D" w:rsidRDefault="00726F3D" w:rsidP="008F1EEE">
      <w:pPr>
        <w:bidi w:val="0"/>
        <w:spacing w:line="240" w:lineRule="auto"/>
        <w:rPr>
          <w:rFonts w:cs="Times-Bold"/>
          <w:b/>
          <w:bCs/>
        </w:rPr>
      </w:pPr>
      <w:r w:rsidRPr="00BD3BE5">
        <w:rPr>
          <w:rFonts w:cs="Times-Bold"/>
          <w:b/>
          <w:bCs/>
        </w:rPr>
        <w:t>Abstract:</w:t>
      </w:r>
    </w:p>
    <w:p w:rsidR="00E05253" w:rsidRPr="004F4C31" w:rsidRDefault="00E05253" w:rsidP="00E05253">
      <w:pPr>
        <w:pStyle w:val="HTML"/>
        <w:shd w:val="clear" w:color="auto" w:fill="FFFFFF"/>
        <w:jc w:val="both"/>
        <w:rPr>
          <w:rFonts w:asciiTheme="minorHAnsi" w:hAnsiTheme="minorHAnsi" w:cs="Times New Roman"/>
          <w:sz w:val="22"/>
          <w:szCs w:val="22"/>
        </w:rPr>
      </w:pPr>
      <w:r w:rsidRPr="004F4C31">
        <w:rPr>
          <w:rFonts w:asciiTheme="minorHAnsi" w:hAnsiTheme="minorHAnsi" w:cs="Aparajita"/>
          <w:sz w:val="22"/>
          <w:szCs w:val="22"/>
        </w:rPr>
        <w:t xml:space="preserve">Insurance industry is playing a vital role in modern economies and it considered as  one of the large industries in global context , it is facing many challenges and facing many types of risks </w:t>
      </w:r>
      <w:r w:rsidRPr="004F4C31">
        <w:rPr>
          <w:rFonts w:asciiTheme="minorHAnsi" w:hAnsiTheme="minorHAnsi"/>
          <w:sz w:val="22"/>
          <w:szCs w:val="22"/>
        </w:rPr>
        <w:t>, one</w:t>
      </w:r>
      <w:r w:rsidR="00344AAD">
        <w:rPr>
          <w:rFonts w:asciiTheme="minorHAnsi" w:hAnsiTheme="minorHAnsi"/>
          <w:sz w:val="22"/>
          <w:szCs w:val="22"/>
        </w:rPr>
        <w:t xml:space="preserve"> of</w:t>
      </w:r>
      <w:r w:rsidRPr="004F4C31">
        <w:rPr>
          <w:rFonts w:asciiTheme="minorHAnsi" w:hAnsiTheme="minorHAnsi"/>
          <w:sz w:val="22"/>
          <w:szCs w:val="22"/>
        </w:rPr>
        <w:t xml:space="preserve"> these risks is </w:t>
      </w:r>
      <w:r w:rsidRPr="004F4C31">
        <w:rPr>
          <w:rFonts w:asciiTheme="minorHAnsi" w:hAnsiTheme="minorHAnsi" w:cs="Aparajita"/>
          <w:sz w:val="22"/>
          <w:szCs w:val="22"/>
        </w:rPr>
        <w:t xml:space="preserve"> fraud  risk ,since  insurance industry in Jordan considered as one the most important economic sector  this study came to investigate the possible  existence of  fraud indicators  </w:t>
      </w:r>
      <w:r>
        <w:rPr>
          <w:rFonts w:asciiTheme="minorHAnsi" w:hAnsiTheme="minorHAnsi" w:cs="Aparajita"/>
          <w:sz w:val="22"/>
          <w:szCs w:val="22"/>
        </w:rPr>
        <w:t xml:space="preserve">in this industry , a </w:t>
      </w:r>
      <w:r w:rsidRPr="004F4C31">
        <w:rPr>
          <w:rFonts w:asciiTheme="minorHAnsi" w:hAnsiTheme="minorHAnsi" w:cs="Aparajita"/>
          <w:sz w:val="22"/>
          <w:szCs w:val="22"/>
        </w:rPr>
        <w:t xml:space="preserve"> four variables</w:t>
      </w:r>
      <w:r>
        <w:rPr>
          <w:rFonts w:asciiTheme="minorHAnsi" w:hAnsiTheme="minorHAnsi" w:cs="Aparajita"/>
          <w:sz w:val="22"/>
          <w:szCs w:val="22"/>
        </w:rPr>
        <w:t xml:space="preserve"> have been chosen </w:t>
      </w:r>
      <w:r w:rsidRPr="004F4C31">
        <w:rPr>
          <w:rFonts w:asciiTheme="minorHAnsi" w:hAnsiTheme="minorHAnsi" w:cs="Aparajita"/>
          <w:sz w:val="22"/>
          <w:szCs w:val="22"/>
        </w:rPr>
        <w:t xml:space="preserve"> that are</w:t>
      </w:r>
      <w:r w:rsidR="00344AAD">
        <w:rPr>
          <w:rFonts w:asciiTheme="minorHAnsi" w:hAnsiTheme="minorHAnsi" w:cs="Aparajita"/>
          <w:sz w:val="22"/>
          <w:szCs w:val="22"/>
        </w:rPr>
        <w:t>;</w:t>
      </w:r>
      <w:r w:rsidR="004905D1">
        <w:rPr>
          <w:rFonts w:asciiTheme="minorHAnsi" w:hAnsiTheme="minorHAnsi" w:cs="Aparajita"/>
          <w:sz w:val="22"/>
          <w:szCs w:val="22"/>
        </w:rPr>
        <w:t xml:space="preserve"> </w:t>
      </w:r>
      <w:r w:rsidRPr="004F4C31">
        <w:rPr>
          <w:rFonts w:asciiTheme="minorHAnsi" w:hAnsiTheme="minorHAnsi" w:cs="Aparajita"/>
          <w:sz w:val="22"/>
          <w:szCs w:val="22"/>
        </w:rPr>
        <w:t>effective internal systems and  possible  fraudulent practices committed by Insured parties Intermediates or /and brokers &amp; complementary service providers</w:t>
      </w:r>
      <w:r w:rsidRPr="004F4C31">
        <w:rPr>
          <w:rFonts w:asciiTheme="minorHAnsi" w:hAnsiTheme="minorHAnsi" w:cs="Times New Roman"/>
          <w:sz w:val="22"/>
          <w:szCs w:val="22"/>
        </w:rPr>
        <w:t>.</w:t>
      </w:r>
      <w:r w:rsidRPr="004F4C31">
        <w:rPr>
          <w:rFonts w:asciiTheme="minorHAnsi" w:hAnsiTheme="minorHAnsi" w:cs="Aparajita"/>
          <w:sz w:val="22"/>
          <w:szCs w:val="22"/>
        </w:rPr>
        <w:t xml:space="preserve"> A questionnaire has been used and sent to a (25) insurance companies of a total (75) questionnaires,(56) were returned , valid and included in the analysis. </w:t>
      </w:r>
      <w:r w:rsidRPr="004F4C31">
        <w:rPr>
          <w:rFonts w:asciiTheme="minorHAnsi" w:eastAsia="Calibri" w:hAnsiTheme="minorHAnsi" w:cs="Times New Roman"/>
          <w:sz w:val="22"/>
          <w:szCs w:val="22"/>
        </w:rPr>
        <w:t>Hypothesis testing relied mainly on descriptive statistics like median, mean and standard deviations. The results showed that it</w:t>
      </w:r>
      <w:r w:rsidRPr="004F4C31">
        <w:rPr>
          <w:rFonts w:asciiTheme="minorHAnsi" w:hAnsiTheme="minorHAnsi" w:cs="Times New Roman"/>
          <w:sz w:val="22"/>
          <w:szCs w:val="22"/>
        </w:rPr>
        <w:t xml:space="preserve"> was statistically significant with significance level at 0.00. </w:t>
      </w:r>
      <w:r>
        <w:rPr>
          <w:rFonts w:asciiTheme="minorHAnsi" w:hAnsiTheme="minorHAnsi" w:cs="Times New Roman"/>
          <w:sz w:val="22"/>
          <w:szCs w:val="22"/>
        </w:rPr>
        <w:t>the existence of</w:t>
      </w:r>
      <w:r w:rsidR="00FA6D59">
        <w:rPr>
          <w:rFonts w:asciiTheme="minorHAnsi" w:hAnsiTheme="minorHAnsi" w:cs="Times New Roman"/>
          <w:sz w:val="22"/>
          <w:szCs w:val="22"/>
        </w:rPr>
        <w:t xml:space="preserve"> fraud</w:t>
      </w:r>
      <w:r>
        <w:rPr>
          <w:rFonts w:asciiTheme="minorHAnsi" w:hAnsiTheme="minorHAnsi" w:cs="Times New Roman"/>
          <w:sz w:val="22"/>
          <w:szCs w:val="22"/>
        </w:rPr>
        <w:t xml:space="preserve"> indicators</w:t>
      </w:r>
      <w:r w:rsidRPr="004F4C31">
        <w:rPr>
          <w:rFonts w:asciiTheme="minorHAnsi" w:hAnsiTheme="minorHAnsi" w:cs="Times New Roman"/>
          <w:sz w:val="22"/>
          <w:szCs w:val="22"/>
        </w:rPr>
        <w:t xml:space="preserve"> in insurance companies</w:t>
      </w:r>
      <w:r>
        <w:rPr>
          <w:rFonts w:asciiTheme="minorHAnsi" w:hAnsiTheme="minorHAnsi" w:cs="Times New Roman"/>
          <w:sz w:val="22"/>
          <w:szCs w:val="22"/>
        </w:rPr>
        <w:t>.</w:t>
      </w:r>
    </w:p>
    <w:p w:rsidR="00E05253" w:rsidRDefault="00E05253" w:rsidP="00344AAD">
      <w:pPr>
        <w:pStyle w:val="HTML"/>
        <w:shd w:val="clear" w:color="auto" w:fill="FFFFFF"/>
        <w:jc w:val="both"/>
        <w:rPr>
          <w:rFonts w:asciiTheme="minorHAnsi" w:hAnsiTheme="minorHAnsi" w:cs="Aparajita"/>
          <w:sz w:val="22"/>
          <w:szCs w:val="22"/>
        </w:rPr>
      </w:pPr>
      <w:r w:rsidRPr="004F4C31">
        <w:rPr>
          <w:rFonts w:asciiTheme="minorHAnsi" w:hAnsiTheme="minorHAnsi" w:cs="Times New Roman"/>
          <w:sz w:val="22"/>
          <w:szCs w:val="22"/>
        </w:rPr>
        <w:t>The study has concluded that the</w:t>
      </w:r>
      <w:r>
        <w:rPr>
          <w:rFonts w:asciiTheme="minorHAnsi" w:hAnsiTheme="minorHAnsi" w:cs="Times New Roman"/>
          <w:sz w:val="22"/>
          <w:szCs w:val="22"/>
        </w:rPr>
        <w:t xml:space="preserve">se </w:t>
      </w:r>
      <w:r w:rsidRPr="004F4C31">
        <w:rPr>
          <w:rFonts w:asciiTheme="minorHAnsi" w:hAnsiTheme="minorHAnsi" w:cs="Times New Roman"/>
          <w:sz w:val="22"/>
          <w:szCs w:val="22"/>
        </w:rPr>
        <w:t xml:space="preserve">  indicators</w:t>
      </w:r>
      <w:r>
        <w:rPr>
          <w:rFonts w:asciiTheme="minorHAnsi" w:hAnsiTheme="minorHAnsi" w:cs="Times New Roman"/>
          <w:sz w:val="22"/>
          <w:szCs w:val="22"/>
        </w:rPr>
        <w:t xml:space="preserve"> are existed in </w:t>
      </w:r>
      <w:r w:rsidRPr="004F4C31">
        <w:rPr>
          <w:rFonts w:asciiTheme="minorHAnsi" w:hAnsiTheme="minorHAnsi" w:cs="Times New Roman"/>
          <w:sz w:val="22"/>
          <w:szCs w:val="22"/>
        </w:rPr>
        <w:t>different</w:t>
      </w:r>
      <w:r w:rsidRPr="004F4C31">
        <w:rPr>
          <w:rFonts w:asciiTheme="minorHAnsi" w:hAnsiTheme="minorHAnsi" w:cs="Aparajita"/>
          <w:sz w:val="22"/>
          <w:szCs w:val="22"/>
        </w:rPr>
        <w:t xml:space="preserve"> aspects of insurance business and it recommended that insurance companies in </w:t>
      </w:r>
      <w:r w:rsidR="00344AAD" w:rsidRPr="004F4C31">
        <w:rPr>
          <w:rFonts w:asciiTheme="minorHAnsi" w:hAnsiTheme="minorHAnsi" w:cs="Aparajita"/>
          <w:sz w:val="22"/>
          <w:szCs w:val="22"/>
        </w:rPr>
        <w:t xml:space="preserve">Jordan </w:t>
      </w:r>
      <w:r w:rsidR="00344AAD">
        <w:rPr>
          <w:rFonts w:asciiTheme="minorHAnsi" w:hAnsiTheme="minorHAnsi" w:cs="Aparajita"/>
          <w:sz w:val="22"/>
          <w:szCs w:val="22"/>
        </w:rPr>
        <w:t>have</w:t>
      </w:r>
      <w:r w:rsidRPr="004F4C31">
        <w:rPr>
          <w:rFonts w:asciiTheme="minorHAnsi" w:hAnsiTheme="minorHAnsi" w:cs="Aparajita"/>
          <w:sz w:val="22"/>
          <w:szCs w:val="22"/>
        </w:rPr>
        <w:t xml:space="preserve"> to improve insured party's understanding and awareness regarding insurance services</w:t>
      </w:r>
      <w:r>
        <w:rPr>
          <w:rFonts w:asciiTheme="minorHAnsi" w:hAnsiTheme="minorHAnsi" w:cs="Aparajita"/>
          <w:sz w:val="22"/>
          <w:szCs w:val="22"/>
        </w:rPr>
        <w:t xml:space="preserve"> and should cooperate and </w:t>
      </w:r>
      <w:r w:rsidRPr="004F4C31">
        <w:rPr>
          <w:rFonts w:asciiTheme="minorHAnsi" w:hAnsiTheme="minorHAnsi" w:cs="Aparajita"/>
          <w:sz w:val="22"/>
          <w:szCs w:val="22"/>
        </w:rPr>
        <w:t>capitaliz</w:t>
      </w:r>
      <w:r>
        <w:rPr>
          <w:rFonts w:asciiTheme="minorHAnsi" w:hAnsiTheme="minorHAnsi" w:cs="Aparajita"/>
          <w:sz w:val="22"/>
          <w:szCs w:val="22"/>
        </w:rPr>
        <w:t>e</w:t>
      </w:r>
      <w:r w:rsidRPr="004F4C31">
        <w:rPr>
          <w:rFonts w:asciiTheme="minorHAnsi" w:hAnsiTheme="minorHAnsi" w:cs="Aparajita"/>
          <w:sz w:val="22"/>
          <w:szCs w:val="22"/>
        </w:rPr>
        <w:t xml:space="preserve"> on the efforts of supervision authorities </w:t>
      </w:r>
      <w:r>
        <w:rPr>
          <w:rFonts w:asciiTheme="minorHAnsi" w:hAnsiTheme="minorHAnsi" w:cs="Aparajita"/>
          <w:sz w:val="22"/>
          <w:szCs w:val="22"/>
        </w:rPr>
        <w:t xml:space="preserve">toward fighting </w:t>
      </w:r>
      <w:r w:rsidR="00344AAD">
        <w:rPr>
          <w:rFonts w:asciiTheme="minorHAnsi" w:hAnsiTheme="minorHAnsi" w:cs="Aparajita"/>
          <w:sz w:val="22"/>
          <w:szCs w:val="22"/>
        </w:rPr>
        <w:t xml:space="preserve">this </w:t>
      </w:r>
      <w:r w:rsidR="00344AAD" w:rsidRPr="004F4C31">
        <w:rPr>
          <w:rFonts w:asciiTheme="minorHAnsi" w:hAnsiTheme="minorHAnsi" w:cs="Aparajita"/>
          <w:sz w:val="22"/>
          <w:szCs w:val="22"/>
        </w:rPr>
        <w:t>issue</w:t>
      </w:r>
      <w:r>
        <w:rPr>
          <w:rFonts w:asciiTheme="minorHAnsi" w:hAnsiTheme="minorHAnsi" w:cs="Aparajita"/>
          <w:sz w:val="22"/>
          <w:szCs w:val="22"/>
        </w:rPr>
        <w:t xml:space="preserve">, </w:t>
      </w:r>
      <w:r w:rsidR="00344AAD">
        <w:rPr>
          <w:rFonts w:asciiTheme="minorHAnsi" w:hAnsiTheme="minorHAnsi" w:cs="Aparajita"/>
          <w:sz w:val="22"/>
          <w:szCs w:val="22"/>
        </w:rPr>
        <w:t>also supervision</w:t>
      </w:r>
      <w:r w:rsidRPr="004F4C31">
        <w:rPr>
          <w:rFonts w:asciiTheme="minorHAnsi" w:hAnsiTheme="minorHAnsi" w:cs="Aparajita"/>
          <w:sz w:val="22"/>
          <w:szCs w:val="22"/>
        </w:rPr>
        <w:t xml:space="preserve"> authorities should</w:t>
      </w:r>
      <w:r w:rsidR="00344AAD">
        <w:rPr>
          <w:rFonts w:asciiTheme="minorHAnsi" w:hAnsiTheme="minorHAnsi" w:cs="Aparajita"/>
          <w:sz w:val="22"/>
          <w:szCs w:val="22"/>
        </w:rPr>
        <w:t xml:space="preserve"> develop and promote </w:t>
      </w:r>
      <w:r w:rsidR="00344AAD" w:rsidRPr="004F4C31">
        <w:rPr>
          <w:rFonts w:asciiTheme="minorHAnsi" w:hAnsiTheme="minorHAnsi" w:cs="Aparajita"/>
          <w:sz w:val="22"/>
          <w:szCs w:val="22"/>
        </w:rPr>
        <w:t>best</w:t>
      </w:r>
      <w:r w:rsidRPr="004F4C31">
        <w:rPr>
          <w:rFonts w:asciiTheme="minorHAnsi" w:hAnsiTheme="minorHAnsi" w:cs="Aparajita"/>
          <w:sz w:val="22"/>
          <w:szCs w:val="22"/>
        </w:rPr>
        <w:t xml:space="preserve"> practice’ guidance that enhance the effectiveness of insurance </w:t>
      </w:r>
      <w:r w:rsidR="00733ADC" w:rsidRPr="004F4C31">
        <w:rPr>
          <w:rFonts w:asciiTheme="minorHAnsi" w:hAnsiTheme="minorHAnsi" w:cs="Aparajita"/>
          <w:sz w:val="22"/>
          <w:szCs w:val="22"/>
        </w:rPr>
        <w:t>companies.</w:t>
      </w:r>
    </w:p>
    <w:p w:rsidR="00733ADC" w:rsidRDefault="00733ADC" w:rsidP="00733ADC">
      <w:pPr>
        <w:pStyle w:val="HTML"/>
        <w:shd w:val="clear" w:color="auto" w:fill="FFFFFF"/>
        <w:jc w:val="both"/>
        <w:rPr>
          <w:rFonts w:asciiTheme="minorHAnsi" w:hAnsiTheme="minorHAnsi" w:cs="Aparajita"/>
          <w:sz w:val="22"/>
          <w:szCs w:val="22"/>
        </w:rPr>
      </w:pPr>
    </w:p>
    <w:p w:rsidR="00733ADC" w:rsidRPr="004F4C31" w:rsidRDefault="00733ADC" w:rsidP="00DE00DF">
      <w:pPr>
        <w:pStyle w:val="HTML"/>
        <w:shd w:val="clear" w:color="auto" w:fill="FFFFFF"/>
        <w:jc w:val="both"/>
        <w:rPr>
          <w:rFonts w:asciiTheme="minorHAnsi" w:hAnsiTheme="minorHAnsi" w:cs="Aparajita"/>
          <w:sz w:val="22"/>
          <w:szCs w:val="22"/>
        </w:rPr>
      </w:pPr>
      <w:r>
        <w:rPr>
          <w:rFonts w:asciiTheme="minorHAnsi" w:hAnsiTheme="minorHAnsi" w:cs="Aparajita"/>
          <w:sz w:val="22"/>
          <w:szCs w:val="22"/>
        </w:rPr>
        <w:t>Key words:</w:t>
      </w:r>
      <w:r w:rsidR="00DE00DF">
        <w:rPr>
          <w:rFonts w:asciiTheme="minorHAnsi" w:hAnsiTheme="minorHAnsi" w:cs="Aparajita"/>
          <w:sz w:val="22"/>
          <w:szCs w:val="22"/>
        </w:rPr>
        <w:t xml:space="preserve"> Insurance Companies, Insurance Fraud, Broker, complementary services.</w:t>
      </w:r>
    </w:p>
    <w:p w:rsidR="00DE00DF" w:rsidRPr="00DE00DF" w:rsidRDefault="00DE00DF" w:rsidP="00DE00DF">
      <w:pPr>
        <w:pStyle w:val="HTML"/>
        <w:jc w:val="both"/>
        <w:rPr>
          <w:rFonts w:asciiTheme="minorHAnsi" w:hAnsiTheme="minorHAnsi" w:cs="Aparajita"/>
          <w:sz w:val="22"/>
          <w:szCs w:val="22"/>
        </w:rPr>
      </w:pPr>
      <w:r w:rsidRPr="00DE00DF">
        <w:rPr>
          <w:rFonts w:asciiTheme="minorHAnsi" w:hAnsiTheme="minorHAnsi" w:cs="Aparajita"/>
          <w:sz w:val="22"/>
          <w:szCs w:val="22"/>
        </w:rPr>
        <w:t>JEL Classification Codes</w:t>
      </w:r>
      <w:r>
        <w:rPr>
          <w:rFonts w:asciiTheme="minorHAnsi" w:hAnsiTheme="minorHAnsi" w:cs="Aparajita"/>
          <w:sz w:val="22"/>
          <w:szCs w:val="22"/>
        </w:rPr>
        <w:t>:G220,D81,G240,P43.</w:t>
      </w:r>
    </w:p>
    <w:p w:rsidR="00E05253" w:rsidRPr="004F4C31" w:rsidRDefault="00E05253" w:rsidP="00E05253">
      <w:pPr>
        <w:pStyle w:val="HTML"/>
        <w:shd w:val="clear" w:color="auto" w:fill="FFFFFF"/>
        <w:jc w:val="both"/>
        <w:rPr>
          <w:rFonts w:asciiTheme="minorHAnsi" w:hAnsiTheme="minorHAnsi" w:cs="Times New Roman"/>
          <w:sz w:val="22"/>
          <w:szCs w:val="22"/>
        </w:rPr>
      </w:pPr>
    </w:p>
    <w:p w:rsidR="00726F3D" w:rsidRPr="00BD3BE5" w:rsidRDefault="00726F3D" w:rsidP="008F1EEE">
      <w:pPr>
        <w:bidi w:val="0"/>
        <w:spacing w:line="240" w:lineRule="auto"/>
        <w:rPr>
          <w:rFonts w:cs="Times-Bold"/>
          <w:b/>
          <w:bCs/>
        </w:rPr>
      </w:pPr>
      <w:r w:rsidRPr="00BD3BE5">
        <w:rPr>
          <w:rFonts w:cs="Times-Bold"/>
          <w:b/>
          <w:bCs/>
        </w:rPr>
        <w:t>Introduction:</w:t>
      </w:r>
    </w:p>
    <w:p w:rsidR="00726F3D" w:rsidRPr="00BD3BE5" w:rsidRDefault="004F1FE8" w:rsidP="008F1EEE">
      <w:pPr>
        <w:tabs>
          <w:tab w:val="left" w:pos="8280"/>
          <w:tab w:val="left" w:pos="9090"/>
          <w:tab w:val="left" w:pos="9180"/>
        </w:tabs>
        <w:bidi w:val="0"/>
        <w:spacing w:line="240" w:lineRule="auto"/>
        <w:jc w:val="both"/>
        <w:rPr>
          <w:rFonts w:cs="Aparajita"/>
        </w:rPr>
      </w:pPr>
      <w:r w:rsidRPr="00BD3BE5">
        <w:rPr>
          <w:rFonts w:cs="Aparajita"/>
        </w:rPr>
        <w:t>I</w:t>
      </w:r>
      <w:r w:rsidR="00726F3D" w:rsidRPr="00BD3BE5">
        <w:rPr>
          <w:rFonts w:cs="Aparajita"/>
        </w:rPr>
        <w:t>nsurance industry</w:t>
      </w:r>
      <w:r w:rsidRPr="00BD3BE5">
        <w:rPr>
          <w:rFonts w:cs="Aparajita"/>
        </w:rPr>
        <w:t xml:space="preserve"> is</w:t>
      </w:r>
      <w:r w:rsidR="004905D1">
        <w:rPr>
          <w:rFonts w:cs="Aparajita"/>
        </w:rPr>
        <w:t xml:space="preserve"> </w:t>
      </w:r>
      <w:r w:rsidRPr="00BD3BE5">
        <w:rPr>
          <w:rFonts w:cs="Aparajita"/>
        </w:rPr>
        <w:t>playing</w:t>
      </w:r>
      <w:r w:rsidR="00482186" w:rsidRPr="00BD3BE5">
        <w:rPr>
          <w:rFonts w:cs="Aparajita"/>
        </w:rPr>
        <w:t xml:space="preserve"> a vital role in modern economies</w:t>
      </w:r>
      <w:r w:rsidRPr="00BD3BE5">
        <w:rPr>
          <w:rFonts w:cs="Aparajita"/>
        </w:rPr>
        <w:t xml:space="preserve"> espe</w:t>
      </w:r>
      <w:r w:rsidR="00482186" w:rsidRPr="00BD3BE5">
        <w:rPr>
          <w:rFonts w:cs="Aparajita"/>
        </w:rPr>
        <w:t xml:space="preserve">cially with rapid </w:t>
      </w:r>
      <w:r w:rsidR="00726F3D" w:rsidRPr="00BD3BE5">
        <w:rPr>
          <w:rFonts w:cs="Aparajita"/>
        </w:rPr>
        <w:t>technological</w:t>
      </w:r>
      <w:r w:rsidR="00482186" w:rsidRPr="00BD3BE5">
        <w:rPr>
          <w:rFonts w:cs="Aparajita"/>
        </w:rPr>
        <w:t>, social, cultural,</w:t>
      </w:r>
      <w:r w:rsidR="004905D1">
        <w:rPr>
          <w:rFonts w:cs="Aparajita"/>
        </w:rPr>
        <w:t xml:space="preserve"> </w:t>
      </w:r>
      <w:r w:rsidR="00482186" w:rsidRPr="00BD3BE5">
        <w:rPr>
          <w:rFonts w:cs="Aparajita"/>
        </w:rPr>
        <w:t>political</w:t>
      </w:r>
      <w:r w:rsidR="00945E1E" w:rsidRPr="00BD3BE5">
        <w:rPr>
          <w:rFonts w:cs="Aparajita"/>
        </w:rPr>
        <w:t xml:space="preserve"> and economics'</w:t>
      </w:r>
      <w:r w:rsidR="004905D1">
        <w:rPr>
          <w:rFonts w:cs="Aparajita"/>
        </w:rPr>
        <w:t xml:space="preserve"> </w:t>
      </w:r>
      <w:r w:rsidR="00945E1E" w:rsidRPr="00BD3BE5">
        <w:rPr>
          <w:rFonts w:cs="Aparajita"/>
        </w:rPr>
        <w:t xml:space="preserve">changes. With markets' </w:t>
      </w:r>
      <w:r w:rsidRPr="00BD3BE5">
        <w:rPr>
          <w:rFonts w:cs="Aparajita"/>
        </w:rPr>
        <w:t>globaliz</w:t>
      </w:r>
      <w:r w:rsidR="00945E1E" w:rsidRPr="00BD3BE5">
        <w:rPr>
          <w:rFonts w:cs="Aparajita"/>
        </w:rPr>
        <w:t xml:space="preserve">ation and continuous chaining in </w:t>
      </w:r>
      <w:r w:rsidRPr="00BD3BE5">
        <w:rPr>
          <w:rFonts w:cs="Aparajita"/>
        </w:rPr>
        <w:t>business environment</w:t>
      </w:r>
      <w:r w:rsidR="00945E1E" w:rsidRPr="00BD3BE5">
        <w:rPr>
          <w:rFonts w:cs="Aparajita"/>
        </w:rPr>
        <w:t>, Insurance</w:t>
      </w:r>
      <w:r w:rsidR="00726F3D" w:rsidRPr="00BD3BE5">
        <w:rPr>
          <w:rFonts w:cs="Aparajita"/>
        </w:rPr>
        <w:t xml:space="preserve"> has become</w:t>
      </w:r>
      <w:r w:rsidRPr="00BD3BE5">
        <w:rPr>
          <w:rFonts w:cs="Aparajita"/>
        </w:rPr>
        <w:t xml:space="preserve"> an essential ingredient of </w:t>
      </w:r>
      <w:r w:rsidR="00726F3D" w:rsidRPr="00BD3BE5">
        <w:rPr>
          <w:rFonts w:cs="Aparajita"/>
        </w:rPr>
        <w:t xml:space="preserve">risk and complexity management strategies for individuals, social groups and businesses.( </w:t>
      </w:r>
      <w:hyperlink r:id="rId10" w:history="1">
        <w:r w:rsidR="00726F3D" w:rsidRPr="00BD3BE5">
          <w:rPr>
            <w:rFonts w:cs="Aparajita"/>
          </w:rPr>
          <w:t xml:space="preserve">Viaene, </w:t>
        </w:r>
      </w:hyperlink>
      <w:hyperlink r:id="rId11" w:history="1">
        <w:proofErr w:type="spellStart"/>
        <w:r w:rsidR="00726F3D" w:rsidRPr="00BD3BE5">
          <w:rPr>
            <w:rFonts w:cs="Aparajita"/>
          </w:rPr>
          <w:t>Dedene</w:t>
        </w:r>
        <w:proofErr w:type="spellEnd"/>
        <w:r w:rsidR="00726F3D" w:rsidRPr="00BD3BE5">
          <w:rPr>
            <w:rFonts w:cs="Aparajita"/>
          </w:rPr>
          <w:t>,</w:t>
        </w:r>
      </w:hyperlink>
      <w:r w:rsidR="00726F3D" w:rsidRPr="00BD3BE5">
        <w:rPr>
          <w:rFonts w:cs="Aparajita"/>
        </w:rPr>
        <w:t xml:space="preserve"> 2004)</w:t>
      </w:r>
      <w:r w:rsidR="005A7B30" w:rsidRPr="00BD3BE5">
        <w:rPr>
          <w:rFonts w:cs="Aparajita"/>
        </w:rPr>
        <w:t>.</w:t>
      </w:r>
    </w:p>
    <w:p w:rsidR="00CB0FF6" w:rsidRPr="00BD3BE5" w:rsidRDefault="005A7B30" w:rsidP="00D702BB">
      <w:pPr>
        <w:tabs>
          <w:tab w:val="left" w:pos="8280"/>
          <w:tab w:val="left" w:pos="9090"/>
          <w:tab w:val="left" w:pos="9180"/>
        </w:tabs>
        <w:bidi w:val="0"/>
        <w:spacing w:line="240" w:lineRule="auto"/>
        <w:jc w:val="both"/>
        <w:rPr>
          <w:rFonts w:cs="Aparajita"/>
        </w:rPr>
      </w:pPr>
      <w:r w:rsidRPr="00BD3BE5">
        <w:rPr>
          <w:rFonts w:cs="Aparajita"/>
        </w:rPr>
        <w:t xml:space="preserve">While insurance industry is considered as one </w:t>
      </w:r>
      <w:r w:rsidR="00EF3423" w:rsidRPr="00BD3BE5">
        <w:rPr>
          <w:rFonts w:cs="Aparajita"/>
        </w:rPr>
        <w:t>of the large</w:t>
      </w:r>
      <w:r w:rsidRPr="00BD3BE5">
        <w:rPr>
          <w:rFonts w:cs="Aparajita"/>
        </w:rPr>
        <w:t xml:space="preserve"> industries</w:t>
      </w:r>
      <w:r w:rsidR="00482186" w:rsidRPr="00BD3BE5">
        <w:rPr>
          <w:rFonts w:cs="Aparajita"/>
        </w:rPr>
        <w:t xml:space="preserve"> in</w:t>
      </w:r>
      <w:r w:rsidR="004905D1">
        <w:rPr>
          <w:rFonts w:cs="Aparajita"/>
        </w:rPr>
        <w:t xml:space="preserve"> </w:t>
      </w:r>
      <w:r w:rsidR="00482186" w:rsidRPr="00BD3BE5">
        <w:rPr>
          <w:rFonts w:cs="Aparajita"/>
        </w:rPr>
        <w:t>global context</w:t>
      </w:r>
      <w:r w:rsidRPr="00BD3BE5">
        <w:rPr>
          <w:rFonts w:cs="Aparajita"/>
        </w:rPr>
        <w:t xml:space="preserve"> , </w:t>
      </w:r>
      <w:r w:rsidR="00EF3423" w:rsidRPr="00BD3BE5">
        <w:rPr>
          <w:rFonts w:cs="Aparajita"/>
        </w:rPr>
        <w:t>it</w:t>
      </w:r>
      <w:r w:rsidRPr="00BD3BE5">
        <w:rPr>
          <w:rFonts w:cs="Aparajita"/>
        </w:rPr>
        <w:t xml:space="preserve"> is facing </w:t>
      </w:r>
      <w:r w:rsidR="00EF3423" w:rsidRPr="00BD3BE5">
        <w:rPr>
          <w:rFonts w:cs="Aparajita"/>
        </w:rPr>
        <w:t xml:space="preserve">many challenges related to the nature of its business, and </w:t>
      </w:r>
      <w:r w:rsidR="00482186" w:rsidRPr="00BD3BE5">
        <w:rPr>
          <w:rFonts w:cs="Aparajita"/>
        </w:rPr>
        <w:t>to be able</w:t>
      </w:r>
      <w:r w:rsidR="00EF3423" w:rsidRPr="00BD3BE5">
        <w:rPr>
          <w:rFonts w:cs="Aparajita"/>
        </w:rPr>
        <w:t xml:space="preserve"> to satisfy industry</w:t>
      </w:r>
      <w:r w:rsidR="00482186" w:rsidRPr="00BD3BE5">
        <w:rPr>
          <w:rFonts w:cs="Aparajita"/>
        </w:rPr>
        <w:t>’s</w:t>
      </w:r>
      <w:r w:rsidR="00EF3423" w:rsidRPr="00BD3BE5">
        <w:rPr>
          <w:rFonts w:cs="Aparajita"/>
        </w:rPr>
        <w:t xml:space="preserve"> stakeholders</w:t>
      </w:r>
      <w:r w:rsidR="00E34054" w:rsidRPr="00BD3BE5">
        <w:rPr>
          <w:rFonts w:cs="Aparajita"/>
        </w:rPr>
        <w:t>'</w:t>
      </w:r>
      <w:r w:rsidR="00EF3423" w:rsidRPr="00BD3BE5">
        <w:rPr>
          <w:rFonts w:cs="Aparajita"/>
        </w:rPr>
        <w:t xml:space="preserve"> needs</w:t>
      </w:r>
      <w:r w:rsidR="00CB0FF6" w:rsidRPr="00BD3BE5">
        <w:rPr>
          <w:rFonts w:cs="Aparajita"/>
        </w:rPr>
        <w:t xml:space="preserve">; companies in this industry have to cope with </w:t>
      </w:r>
      <w:r w:rsidR="00EF3423" w:rsidRPr="00BD3BE5">
        <w:rPr>
          <w:rFonts w:cs="Aparajita"/>
        </w:rPr>
        <w:t>market</w:t>
      </w:r>
      <w:r w:rsidR="00CB0FF6" w:rsidRPr="00BD3BE5">
        <w:rPr>
          <w:rFonts w:cs="Aparajita"/>
        </w:rPr>
        <w:t>’s</w:t>
      </w:r>
      <w:r w:rsidR="004905D1">
        <w:rPr>
          <w:rFonts w:cs="Aparajita"/>
        </w:rPr>
        <w:t xml:space="preserve"> </w:t>
      </w:r>
      <w:r w:rsidRPr="00BD3BE5">
        <w:rPr>
          <w:rFonts w:cs="Aparajita"/>
        </w:rPr>
        <w:t>competition</w:t>
      </w:r>
      <w:r w:rsidR="00EF3423" w:rsidRPr="00BD3BE5">
        <w:rPr>
          <w:rFonts w:cs="Aparajita"/>
        </w:rPr>
        <w:t>, clients</w:t>
      </w:r>
      <w:r w:rsidR="00CB0FF6" w:rsidRPr="00BD3BE5">
        <w:rPr>
          <w:rFonts w:cs="Aparajita"/>
        </w:rPr>
        <w:t>’</w:t>
      </w:r>
      <w:r w:rsidR="00EF3423" w:rsidRPr="00BD3BE5">
        <w:rPr>
          <w:rFonts w:cs="Aparajita"/>
        </w:rPr>
        <w:t xml:space="preserve"> changing needs and exercise proper risk management to achieve</w:t>
      </w:r>
      <w:r w:rsidR="00CB0FF6" w:rsidRPr="00BD3BE5">
        <w:rPr>
          <w:rFonts w:cs="Aparajita"/>
        </w:rPr>
        <w:t xml:space="preserve"> their objectives.</w:t>
      </w:r>
      <w:r w:rsidR="00D702BB">
        <w:rPr>
          <w:rFonts w:cs="Aparajita"/>
        </w:rPr>
        <w:t>(</w:t>
      </w:r>
      <w:r w:rsidR="00D702BB" w:rsidRPr="00D702BB">
        <w:rPr>
          <w:rFonts w:cs="Calibri"/>
        </w:rPr>
        <w:t xml:space="preserve"> Al rawashdeh,F and Smadi Z</w:t>
      </w:r>
      <w:r w:rsidR="00D702BB">
        <w:rPr>
          <w:rFonts w:cs="Calibri"/>
        </w:rPr>
        <w:t>,</w:t>
      </w:r>
      <w:r w:rsidR="00D702BB" w:rsidRPr="00D702BB">
        <w:rPr>
          <w:rFonts w:cs="Calibri"/>
        </w:rPr>
        <w:t>2012)</w:t>
      </w:r>
    </w:p>
    <w:p w:rsidR="00F25124" w:rsidRPr="00BD3BE5" w:rsidRDefault="00F25124" w:rsidP="008F1EEE">
      <w:pPr>
        <w:tabs>
          <w:tab w:val="left" w:pos="8280"/>
          <w:tab w:val="left" w:pos="9090"/>
          <w:tab w:val="left" w:pos="9180"/>
        </w:tabs>
        <w:bidi w:val="0"/>
        <w:spacing w:line="240" w:lineRule="auto"/>
        <w:jc w:val="both"/>
        <w:rPr>
          <w:rFonts w:cs="Aparajita"/>
        </w:rPr>
      </w:pPr>
      <w:r w:rsidRPr="00BD3BE5">
        <w:rPr>
          <w:rFonts w:cs="Aparajita"/>
        </w:rPr>
        <w:t xml:space="preserve"> Proper risk management should be an integrated part of business </w:t>
      </w:r>
      <w:r w:rsidR="004B759D" w:rsidRPr="00BD3BE5">
        <w:rPr>
          <w:rFonts w:cs="Aparajita"/>
        </w:rPr>
        <w:t>planning process</w:t>
      </w:r>
      <w:r w:rsidR="00E34054" w:rsidRPr="00BD3BE5">
        <w:rPr>
          <w:rFonts w:cs="Aparajita"/>
        </w:rPr>
        <w:t>, t</w:t>
      </w:r>
      <w:r w:rsidRPr="00BD3BE5">
        <w:rPr>
          <w:rFonts w:cs="Aparajita"/>
        </w:rPr>
        <w:t>his process should be designed to reduce or eliminate the risk</w:t>
      </w:r>
      <w:r w:rsidR="00D25E06" w:rsidRPr="00BD3BE5">
        <w:rPr>
          <w:rFonts w:cs="Aparajita"/>
        </w:rPr>
        <w:t>s</w:t>
      </w:r>
      <w:r w:rsidRPr="00BD3BE5">
        <w:rPr>
          <w:rFonts w:cs="Aparajita"/>
        </w:rPr>
        <w:t xml:space="preserve"> related to certain kinds of events that have an impact on the business by identifying, assessing, and prioritizing risks of different kinds. Once the risks are identified, the risk manage</w:t>
      </w:r>
      <w:r w:rsidR="00E34054" w:rsidRPr="00BD3BE5">
        <w:rPr>
          <w:rFonts w:cs="Aparajita"/>
        </w:rPr>
        <w:t>ment department</w:t>
      </w:r>
      <w:r w:rsidRPr="00BD3BE5">
        <w:rPr>
          <w:rFonts w:cs="Aparajita"/>
        </w:rPr>
        <w:t xml:space="preserve"> will create a plan to minimize or eliminate the impact of </w:t>
      </w:r>
      <w:r w:rsidRPr="00BD3BE5">
        <w:rPr>
          <w:rFonts w:cs="Aparajita"/>
        </w:rPr>
        <w:lastRenderedPageBreak/>
        <w:t>negative events</w:t>
      </w:r>
      <w:r w:rsidR="00E34054" w:rsidRPr="00BD3BE5">
        <w:rPr>
          <w:rFonts w:cs="Aparajita"/>
        </w:rPr>
        <w:t xml:space="preserve"> on the business</w:t>
      </w:r>
      <w:r w:rsidRPr="00BD3BE5">
        <w:rPr>
          <w:rFonts w:cs="Aparajita"/>
        </w:rPr>
        <w:t xml:space="preserve">. A variety of strategies </w:t>
      </w:r>
      <w:r w:rsidR="00E34054" w:rsidRPr="00BD3BE5">
        <w:rPr>
          <w:rFonts w:cs="Aparajita"/>
        </w:rPr>
        <w:t>are</w:t>
      </w:r>
      <w:r w:rsidRPr="00BD3BE5">
        <w:rPr>
          <w:rFonts w:cs="Aparajita"/>
        </w:rPr>
        <w:t xml:space="preserve"> available, depending on the type</w:t>
      </w:r>
      <w:r w:rsidR="00E34054" w:rsidRPr="00BD3BE5">
        <w:rPr>
          <w:rFonts w:cs="Aparajita"/>
        </w:rPr>
        <w:t>s</w:t>
      </w:r>
      <w:r w:rsidRPr="00BD3BE5">
        <w:rPr>
          <w:rFonts w:cs="Aparajita"/>
        </w:rPr>
        <w:t xml:space="preserve"> of risk and business (Kungwani,2014).</w:t>
      </w:r>
    </w:p>
    <w:p w:rsidR="006E7E74" w:rsidRPr="00BD3BE5" w:rsidRDefault="00660AF5" w:rsidP="008F1EEE">
      <w:pPr>
        <w:tabs>
          <w:tab w:val="left" w:pos="8280"/>
          <w:tab w:val="left" w:pos="9090"/>
          <w:tab w:val="left" w:pos="9180"/>
        </w:tabs>
        <w:bidi w:val="0"/>
        <w:spacing w:line="240" w:lineRule="auto"/>
        <w:jc w:val="both"/>
        <w:rPr>
          <w:rFonts w:cs="Aparajita"/>
        </w:rPr>
      </w:pPr>
      <w:r w:rsidRPr="00BD3BE5">
        <w:rPr>
          <w:rFonts w:cs="Aparajita"/>
        </w:rPr>
        <w:t>Insurance companies are always facing many types of risks</w:t>
      </w:r>
      <w:r w:rsidR="001441A7" w:rsidRPr="00BD3BE5">
        <w:rPr>
          <w:rFonts w:cs="Aparajita"/>
        </w:rPr>
        <w:t xml:space="preserve"> related to the insurance services that</w:t>
      </w:r>
      <w:r w:rsidR="00D25E06" w:rsidRPr="00BD3BE5">
        <w:rPr>
          <w:rFonts w:cs="Aparajita"/>
        </w:rPr>
        <w:t xml:space="preserve"> are</w:t>
      </w:r>
      <w:r w:rsidR="001441A7" w:rsidRPr="00BD3BE5">
        <w:rPr>
          <w:rFonts w:cs="Aparajita"/>
        </w:rPr>
        <w:t xml:space="preserve"> provided, and also </w:t>
      </w:r>
      <w:r w:rsidR="00F25124" w:rsidRPr="00BD3BE5">
        <w:rPr>
          <w:rFonts w:cs="Aparajita"/>
        </w:rPr>
        <w:t>they face</w:t>
      </w:r>
      <w:r w:rsidR="001441A7" w:rsidRPr="00BD3BE5">
        <w:rPr>
          <w:rFonts w:cs="Aparajita"/>
        </w:rPr>
        <w:t xml:space="preserve"> other types of risks like</w:t>
      </w:r>
      <w:r w:rsidR="00F25124" w:rsidRPr="00BD3BE5">
        <w:rPr>
          <w:rFonts w:cs="Aparajita"/>
        </w:rPr>
        <w:t xml:space="preserve"> committing</w:t>
      </w:r>
      <w:r w:rsidR="008C0DAD">
        <w:rPr>
          <w:rFonts w:cs="Aparajita"/>
        </w:rPr>
        <w:t xml:space="preserve"> </w:t>
      </w:r>
      <w:r w:rsidR="000A20D4" w:rsidRPr="00BD3BE5">
        <w:rPr>
          <w:rFonts w:cs="Aparajita"/>
        </w:rPr>
        <w:t xml:space="preserve">fraud. </w:t>
      </w:r>
      <w:r w:rsidR="006E7E74" w:rsidRPr="00BD3BE5">
        <w:rPr>
          <w:rFonts w:cs="Aparajita"/>
        </w:rPr>
        <w:t>Insurance fraud is any act committed with the intent to obtain a fraudulent outcome from an insurance process. This may occur when a claimant attempts to obtain some benefit</w:t>
      </w:r>
      <w:r w:rsidR="00E34054" w:rsidRPr="00BD3BE5">
        <w:rPr>
          <w:rFonts w:cs="Aparajita"/>
        </w:rPr>
        <w:t>s</w:t>
      </w:r>
      <w:r w:rsidR="006E7E74" w:rsidRPr="00BD3BE5">
        <w:rPr>
          <w:rFonts w:cs="Aparajita"/>
        </w:rPr>
        <w:t xml:space="preserve"> or advantage</w:t>
      </w:r>
      <w:r w:rsidR="00E34054" w:rsidRPr="00BD3BE5">
        <w:rPr>
          <w:rFonts w:cs="Aparajita"/>
        </w:rPr>
        <w:t>s</w:t>
      </w:r>
      <w:r w:rsidR="006E7E74" w:rsidRPr="00BD3BE5">
        <w:rPr>
          <w:rFonts w:cs="Aparajita"/>
        </w:rPr>
        <w:t xml:space="preserve"> to which they are not otherwise entitled, or when an insurer knowingly denies some benefit that is due. According to the United States Federal Bureau of Investigation the most common schemes include: Premium Diversion, Fee Churning, Asset Diversion and Workers Compensation Fraud. The perpetrators in these schemes can be both insurance company employees and claimants( Fbi.gov. 201</w:t>
      </w:r>
      <w:r w:rsidR="0073361B" w:rsidRPr="00BD3BE5">
        <w:rPr>
          <w:rFonts w:cs="Aparajita"/>
        </w:rPr>
        <w:t>6</w:t>
      </w:r>
      <w:r w:rsidR="006E7E74" w:rsidRPr="00BD3BE5">
        <w:rPr>
          <w:rFonts w:cs="Aparajita"/>
        </w:rPr>
        <w:t>).</w:t>
      </w:r>
    </w:p>
    <w:p w:rsidR="00377298" w:rsidRPr="00BD3BE5" w:rsidRDefault="00F25124" w:rsidP="008F1EEE">
      <w:pPr>
        <w:tabs>
          <w:tab w:val="left" w:pos="8280"/>
          <w:tab w:val="left" w:pos="9090"/>
          <w:tab w:val="left" w:pos="9180"/>
        </w:tabs>
        <w:bidi w:val="0"/>
        <w:spacing w:line="240" w:lineRule="auto"/>
        <w:jc w:val="both"/>
        <w:rPr>
          <w:rFonts w:cs="Aparajita"/>
        </w:rPr>
      </w:pPr>
      <w:r w:rsidRPr="00BD3BE5">
        <w:rPr>
          <w:rFonts w:cs="Aparajita"/>
        </w:rPr>
        <w:t xml:space="preserve">Insurance fraud </w:t>
      </w:r>
      <w:r w:rsidR="002850F1" w:rsidRPr="00BD3BE5">
        <w:rPr>
          <w:rFonts w:cs="Aparajita"/>
        </w:rPr>
        <w:t>is</w:t>
      </w:r>
      <w:r w:rsidR="00DB3D3D" w:rsidRPr="00BD3BE5">
        <w:rPr>
          <w:rFonts w:cs="Aparajita"/>
        </w:rPr>
        <w:t xml:space="preserve"> a major problem fac</w:t>
      </w:r>
      <w:r w:rsidR="00E34054" w:rsidRPr="00BD3BE5">
        <w:rPr>
          <w:rFonts w:cs="Aparajita"/>
        </w:rPr>
        <w:t>ing the insurance industry (</w:t>
      </w:r>
      <w:r w:rsidR="00DB3D3D" w:rsidRPr="00BD3BE5">
        <w:rPr>
          <w:rFonts w:cs="Aparajita"/>
        </w:rPr>
        <w:t xml:space="preserve">Clarke, 1989; </w:t>
      </w:r>
      <w:proofErr w:type="spellStart"/>
      <w:r w:rsidR="00DB3D3D" w:rsidRPr="00BD3BE5">
        <w:rPr>
          <w:rFonts w:cs="Aparajita"/>
        </w:rPr>
        <w:t>Derrig</w:t>
      </w:r>
      <w:proofErr w:type="spellEnd"/>
      <w:r w:rsidR="00DB3D3D" w:rsidRPr="00BD3BE5">
        <w:rPr>
          <w:rFonts w:cs="Aparajita"/>
        </w:rPr>
        <w:t>, 2002), it is</w:t>
      </w:r>
      <w:r w:rsidR="002850F1" w:rsidRPr="00BD3BE5">
        <w:rPr>
          <w:rFonts w:cs="Aparajita"/>
        </w:rPr>
        <w:t xml:space="preserve"> a real crime, it undermines the whole system and has an impact on insurers, client</w:t>
      </w:r>
      <w:r w:rsidR="00DB3D3D" w:rsidRPr="00BD3BE5">
        <w:rPr>
          <w:rFonts w:cs="Aparajita"/>
        </w:rPr>
        <w:t>s</w:t>
      </w:r>
      <w:r w:rsidR="002850F1" w:rsidRPr="00BD3BE5">
        <w:rPr>
          <w:rFonts w:cs="Aparajita"/>
        </w:rPr>
        <w:t xml:space="preserve">, businesses, society and economy in general, the insurance fraud can be made in many ways and starts with a false preparation of insurance contracts </w:t>
      </w:r>
      <w:r w:rsidR="001029FF" w:rsidRPr="00BD3BE5">
        <w:rPr>
          <w:rFonts w:cs="Aparajita"/>
        </w:rPr>
        <w:t>or/and provide</w:t>
      </w:r>
      <w:r w:rsidR="002850F1" w:rsidRPr="00BD3BE5">
        <w:rPr>
          <w:rFonts w:cs="Aparajita"/>
        </w:rPr>
        <w:t xml:space="preserve"> false or incomplete information in insurance claims; </w:t>
      </w:r>
      <w:r w:rsidR="001029FF" w:rsidRPr="00BD3BE5">
        <w:rPr>
          <w:rFonts w:cs="Aparajita"/>
        </w:rPr>
        <w:t>applying</w:t>
      </w:r>
      <w:r w:rsidR="002850F1" w:rsidRPr="00BD3BE5">
        <w:rPr>
          <w:rFonts w:cs="Aparajita"/>
        </w:rPr>
        <w:t xml:space="preserve"> claims for a damage based on  incorrect circumstances, </w:t>
      </w:r>
      <w:r w:rsidR="001029FF" w:rsidRPr="00BD3BE5">
        <w:rPr>
          <w:rFonts w:cs="Aparajita"/>
        </w:rPr>
        <w:t>inflate</w:t>
      </w:r>
      <w:r w:rsidR="002850F1" w:rsidRPr="00BD3BE5">
        <w:rPr>
          <w:rFonts w:cs="Aparajita"/>
        </w:rPr>
        <w:t xml:space="preserve"> the value of the insured property, fictitious injuries fr</w:t>
      </w:r>
      <w:r w:rsidR="001029FF" w:rsidRPr="00BD3BE5">
        <w:rPr>
          <w:rFonts w:cs="Aparajita"/>
        </w:rPr>
        <w:t>om acc</w:t>
      </w:r>
      <w:r w:rsidR="002850F1" w:rsidRPr="00BD3BE5">
        <w:rPr>
          <w:rFonts w:cs="Aparajita"/>
        </w:rPr>
        <w:t>idents</w:t>
      </w:r>
      <w:r w:rsidR="001029FF" w:rsidRPr="00BD3BE5">
        <w:rPr>
          <w:rFonts w:cs="Aparajita"/>
        </w:rPr>
        <w:t>;</w:t>
      </w:r>
      <w:r w:rsidR="008C0DAD">
        <w:rPr>
          <w:rFonts w:cs="Aparajita"/>
        </w:rPr>
        <w:t xml:space="preserve"> </w:t>
      </w:r>
      <w:r w:rsidR="001029FF" w:rsidRPr="00BD3BE5">
        <w:rPr>
          <w:rFonts w:cs="Aparajita"/>
        </w:rPr>
        <w:t>with the intent of obtaining</w:t>
      </w:r>
      <w:r w:rsidR="008C0DAD">
        <w:rPr>
          <w:rFonts w:cs="Aparajita"/>
        </w:rPr>
        <w:t xml:space="preserve"> </w:t>
      </w:r>
      <w:r w:rsidR="001029FF" w:rsidRPr="00BD3BE5">
        <w:rPr>
          <w:rFonts w:cs="Aparajita"/>
        </w:rPr>
        <w:t>unjustified</w:t>
      </w:r>
      <w:r w:rsidR="002850F1" w:rsidRPr="00BD3BE5">
        <w:rPr>
          <w:rFonts w:cs="Aparajita"/>
        </w:rPr>
        <w:t xml:space="preserve"> benefit. </w:t>
      </w:r>
      <w:r w:rsidR="00312D51" w:rsidRPr="00BD3BE5">
        <w:rPr>
          <w:rFonts w:cs="Aparajita"/>
        </w:rPr>
        <w:t>These crimes</w:t>
      </w:r>
      <w:r w:rsidR="001029FF" w:rsidRPr="00BD3BE5">
        <w:rPr>
          <w:rFonts w:cs="Aparajita"/>
        </w:rPr>
        <w:t xml:space="preserve"> can </w:t>
      </w:r>
      <w:r w:rsidR="002850F1" w:rsidRPr="00BD3BE5">
        <w:rPr>
          <w:rFonts w:cs="Aparajita"/>
        </w:rPr>
        <w:t xml:space="preserve">defraud </w:t>
      </w:r>
      <w:r w:rsidR="001029FF" w:rsidRPr="00BD3BE5">
        <w:rPr>
          <w:rFonts w:cs="Aparajita"/>
        </w:rPr>
        <w:t xml:space="preserve">insurance </w:t>
      </w:r>
      <w:r w:rsidR="002850F1" w:rsidRPr="00BD3BE5">
        <w:rPr>
          <w:rFonts w:cs="Aparajita"/>
        </w:rPr>
        <w:t xml:space="preserve">system </w:t>
      </w:r>
      <w:r w:rsidR="001029FF" w:rsidRPr="00BD3BE5">
        <w:rPr>
          <w:rFonts w:cs="Aparajita"/>
        </w:rPr>
        <w:t>and usually is</w:t>
      </w:r>
      <w:r w:rsidR="002850F1" w:rsidRPr="00BD3BE5">
        <w:rPr>
          <w:rFonts w:cs="Aparajita"/>
        </w:rPr>
        <w:t xml:space="preserve"> committed by the insure</w:t>
      </w:r>
      <w:r w:rsidR="001029FF" w:rsidRPr="00BD3BE5">
        <w:rPr>
          <w:rFonts w:cs="Aparajita"/>
        </w:rPr>
        <w:t xml:space="preserve">d or by a third party claiming benefits </w:t>
      </w:r>
      <w:r w:rsidR="002850F1" w:rsidRPr="00BD3BE5">
        <w:rPr>
          <w:rFonts w:cs="Aparajita"/>
        </w:rPr>
        <w:t>based on an insurance policy. (</w:t>
      </w:r>
      <w:proofErr w:type="spellStart"/>
      <w:r w:rsidR="008B1479">
        <w:fldChar w:fldCharType="begin"/>
      </w:r>
      <w:r w:rsidR="008B1479">
        <w:instrText xml:space="preserve"> HYPERLINK "http://ju.coe.deep-knowledge.net/edsDetails?An=116292267&amp;dbId=bth" </w:instrText>
      </w:r>
      <w:r w:rsidR="008B1479">
        <w:fldChar w:fldCharType="separate"/>
      </w:r>
      <w:r w:rsidR="00DF5B9E" w:rsidRPr="00BD3BE5">
        <w:rPr>
          <w:rFonts w:cs="Aparajita"/>
        </w:rPr>
        <w:t>Tonenciuc</w:t>
      </w:r>
      <w:proofErr w:type="spellEnd"/>
      <w:r w:rsidR="00DF5B9E" w:rsidRPr="00BD3BE5">
        <w:rPr>
          <w:rFonts w:cs="Aparajita"/>
        </w:rPr>
        <w:t>,</w:t>
      </w:r>
      <w:r w:rsidR="002850F1" w:rsidRPr="00BD3BE5">
        <w:rPr>
          <w:rFonts w:cs="Aparajita"/>
        </w:rPr>
        <w:t xml:space="preserve"> Corina-Maria</w:t>
      </w:r>
      <w:r w:rsidR="008B1479">
        <w:rPr>
          <w:rFonts w:cs="Aparajita"/>
        </w:rPr>
        <w:fldChar w:fldCharType="end"/>
      </w:r>
      <w:r w:rsidR="002850F1" w:rsidRPr="00BD3BE5">
        <w:rPr>
          <w:rFonts w:cs="Aparajita"/>
        </w:rPr>
        <w:t>,2015)</w:t>
      </w:r>
      <w:r w:rsidR="002C4BDB" w:rsidRPr="00BD3BE5">
        <w:rPr>
          <w:rFonts w:cs="Aparajita"/>
        </w:rPr>
        <w:t xml:space="preserve">, Sparrow (2008) argues that fraud is a relatively invisible crime, one that is difficult to detect and quantify, making it one of the most worthy areas for further </w:t>
      </w:r>
      <w:r w:rsidR="00377298" w:rsidRPr="00BD3BE5">
        <w:rPr>
          <w:rFonts w:cs="Aparajita"/>
        </w:rPr>
        <w:t xml:space="preserve">study, since it has many types of insurance fraud ,these include offences of individuals against individuals, individuals </w:t>
      </w:r>
      <w:proofErr w:type="spellStart"/>
      <w:r w:rsidR="00377298" w:rsidRPr="00BD3BE5">
        <w:rPr>
          <w:rFonts w:cs="Aparajita"/>
        </w:rPr>
        <w:t>on</w:t>
      </w:r>
      <w:proofErr w:type="spellEnd"/>
      <w:r w:rsidR="00377298" w:rsidRPr="00BD3BE5">
        <w:rPr>
          <w:rFonts w:cs="Aparajita"/>
        </w:rPr>
        <w:t xml:space="preserve"> organizations and organizations against individuals and other organizations (ABI, 2012; Levi, 2008). </w:t>
      </w:r>
    </w:p>
    <w:p w:rsidR="00E57429" w:rsidRPr="00BD3BE5" w:rsidRDefault="00E57429" w:rsidP="008F1EEE">
      <w:pPr>
        <w:tabs>
          <w:tab w:val="left" w:pos="8280"/>
          <w:tab w:val="left" w:pos="9090"/>
          <w:tab w:val="left" w:pos="9180"/>
        </w:tabs>
        <w:bidi w:val="0"/>
        <w:spacing w:line="240" w:lineRule="auto"/>
        <w:jc w:val="both"/>
        <w:rPr>
          <w:rFonts w:cs="Aparajita"/>
        </w:rPr>
      </w:pPr>
      <w:r w:rsidRPr="00BD3BE5">
        <w:rPr>
          <w:rFonts w:cs="Aparajita"/>
        </w:rPr>
        <w:t xml:space="preserve">All types of insurance can be defrauded, whether </w:t>
      </w:r>
      <w:r w:rsidR="00F83542" w:rsidRPr="00BD3BE5">
        <w:rPr>
          <w:rFonts w:cs="Aparajita"/>
        </w:rPr>
        <w:t>commodities</w:t>
      </w:r>
      <w:r w:rsidRPr="00BD3BE5">
        <w:rPr>
          <w:rFonts w:cs="Aparajita"/>
        </w:rPr>
        <w:t xml:space="preserve">, </w:t>
      </w:r>
      <w:r w:rsidR="00F83542" w:rsidRPr="00BD3BE5">
        <w:rPr>
          <w:rFonts w:cs="Aparajita"/>
        </w:rPr>
        <w:t>health, life</w:t>
      </w:r>
      <w:r w:rsidRPr="00BD3BE5">
        <w:rPr>
          <w:rFonts w:cs="Aparajita"/>
        </w:rPr>
        <w:t xml:space="preserve">, auto, property </w:t>
      </w:r>
      <w:r w:rsidR="00312D51" w:rsidRPr="00BD3BE5">
        <w:rPr>
          <w:rFonts w:cs="Aparajita"/>
        </w:rPr>
        <w:t>and other</w:t>
      </w:r>
      <w:r w:rsidRPr="00BD3BE5">
        <w:rPr>
          <w:rFonts w:cs="Aparajita"/>
        </w:rPr>
        <w:t xml:space="preserve"> type</w:t>
      </w:r>
      <w:r w:rsidR="00F83542" w:rsidRPr="00BD3BE5">
        <w:rPr>
          <w:rFonts w:cs="Aparajita"/>
        </w:rPr>
        <w:t>s</w:t>
      </w:r>
      <w:r w:rsidRPr="00BD3BE5">
        <w:rPr>
          <w:rFonts w:cs="Aparajita"/>
        </w:rPr>
        <w:t xml:space="preserve"> of insurance.</w:t>
      </w:r>
      <w:r w:rsidR="00D362AA" w:rsidRPr="00BD3BE5">
        <w:rPr>
          <w:rFonts w:cs="Aparajita"/>
        </w:rPr>
        <w:t xml:space="preserve"> Insurance fraud is costly and</w:t>
      </w:r>
      <w:r w:rsidR="00767DC0" w:rsidRPr="00BD3BE5">
        <w:rPr>
          <w:rFonts w:cs="Aparajita"/>
        </w:rPr>
        <w:t xml:space="preserve"> affecting the insurance </w:t>
      </w:r>
      <w:r w:rsidR="00312D51" w:rsidRPr="00BD3BE5">
        <w:rPr>
          <w:rFonts w:cs="Aparajita"/>
        </w:rPr>
        <w:t>companies’ earnings</w:t>
      </w:r>
      <w:r w:rsidR="00D362AA" w:rsidRPr="00BD3BE5">
        <w:rPr>
          <w:rFonts w:cs="Aparajita"/>
        </w:rPr>
        <w:t xml:space="preserve">, reserve deficiencies, rising loss costs and other insurance expenses, as well as pricing difficulties. </w:t>
      </w:r>
      <w:r w:rsidR="00EA120B" w:rsidRPr="00BD3BE5">
        <w:rPr>
          <w:rFonts w:cs="Aparajita"/>
        </w:rPr>
        <w:t>Therefor fraud</w:t>
      </w:r>
      <w:r w:rsidR="008C0DAD">
        <w:rPr>
          <w:rFonts w:cs="Aparajita"/>
        </w:rPr>
        <w:t xml:space="preserve"> </w:t>
      </w:r>
      <w:r w:rsidR="00EA120B" w:rsidRPr="00BD3BE5">
        <w:rPr>
          <w:rFonts w:cs="Aparajita"/>
        </w:rPr>
        <w:t xml:space="preserve">detection </w:t>
      </w:r>
      <w:r w:rsidR="00D362AA" w:rsidRPr="00BD3BE5">
        <w:rPr>
          <w:rFonts w:cs="Aparajita"/>
        </w:rPr>
        <w:t>and prevent</w:t>
      </w:r>
      <w:r w:rsidR="00EA120B" w:rsidRPr="00BD3BE5">
        <w:rPr>
          <w:rFonts w:cs="Aparajita"/>
        </w:rPr>
        <w:t>ion</w:t>
      </w:r>
      <w:r w:rsidR="00D362AA" w:rsidRPr="00BD3BE5">
        <w:rPr>
          <w:rFonts w:cs="Aparajita"/>
        </w:rPr>
        <w:t xml:space="preserve"> gaining momentum as a means </w:t>
      </w:r>
      <w:r w:rsidR="00312D51" w:rsidRPr="00BD3BE5">
        <w:rPr>
          <w:rFonts w:cs="Aparajita"/>
        </w:rPr>
        <w:t>of reducing</w:t>
      </w:r>
      <w:r w:rsidR="00D362AA" w:rsidRPr="00BD3BE5">
        <w:rPr>
          <w:rFonts w:cs="Aparajita"/>
        </w:rPr>
        <w:t xml:space="preserve"> insurance </w:t>
      </w:r>
      <w:r w:rsidR="00312D51" w:rsidRPr="00BD3BE5">
        <w:rPr>
          <w:rFonts w:cs="Aparajita"/>
        </w:rPr>
        <w:t>costs (</w:t>
      </w:r>
      <w:proofErr w:type="spellStart"/>
      <w:r w:rsidR="00D362AA" w:rsidRPr="00BD3BE5">
        <w:rPr>
          <w:rFonts w:cs="Aparajita"/>
        </w:rPr>
        <w:t>Dornstein</w:t>
      </w:r>
      <w:proofErr w:type="spellEnd"/>
      <w:r w:rsidR="00D362AA" w:rsidRPr="00BD3BE5">
        <w:rPr>
          <w:rFonts w:cs="Aparajita"/>
        </w:rPr>
        <w:t>, 1996).</w:t>
      </w:r>
    </w:p>
    <w:p w:rsidR="007630D1" w:rsidRPr="00BD3BE5" w:rsidRDefault="00602CC8" w:rsidP="008F1EEE">
      <w:pPr>
        <w:tabs>
          <w:tab w:val="left" w:pos="8280"/>
          <w:tab w:val="left" w:pos="9090"/>
          <w:tab w:val="left" w:pos="9180"/>
        </w:tabs>
        <w:bidi w:val="0"/>
        <w:spacing w:line="240" w:lineRule="auto"/>
        <w:jc w:val="mediumKashida"/>
        <w:rPr>
          <w:rFonts w:cs="Aparajita"/>
          <w:b/>
          <w:bCs/>
        </w:rPr>
      </w:pPr>
      <w:r w:rsidRPr="00BD3BE5">
        <w:rPr>
          <w:rFonts w:cs="Aparajita"/>
          <w:b/>
          <w:bCs/>
        </w:rPr>
        <w:t>Study's</w:t>
      </w:r>
      <w:r w:rsidR="007630D1" w:rsidRPr="00BD3BE5">
        <w:rPr>
          <w:rFonts w:cs="Aparajita"/>
          <w:b/>
          <w:bCs/>
        </w:rPr>
        <w:t xml:space="preserve"> problem</w:t>
      </w:r>
    </w:p>
    <w:p w:rsidR="00806EDD" w:rsidRPr="00BD3BE5" w:rsidRDefault="007630D1" w:rsidP="008F1EEE">
      <w:pPr>
        <w:tabs>
          <w:tab w:val="left" w:pos="8280"/>
          <w:tab w:val="left" w:pos="9090"/>
          <w:tab w:val="left" w:pos="9180"/>
        </w:tabs>
        <w:bidi w:val="0"/>
        <w:spacing w:line="240" w:lineRule="auto"/>
        <w:jc w:val="both"/>
        <w:rPr>
          <w:rFonts w:cs="Aparajita"/>
        </w:rPr>
      </w:pPr>
      <w:r w:rsidRPr="00BD3BE5">
        <w:rPr>
          <w:rFonts w:cs="Aparajita"/>
        </w:rPr>
        <w:t xml:space="preserve">Insurance fraud </w:t>
      </w:r>
      <w:r w:rsidR="002C4BDB" w:rsidRPr="00BD3BE5">
        <w:rPr>
          <w:rFonts w:cs="Aparajita"/>
        </w:rPr>
        <w:t>is a problem</w:t>
      </w:r>
      <w:r w:rsidR="00602CC8" w:rsidRPr="00BD3BE5">
        <w:rPr>
          <w:rFonts w:cs="Aparajita"/>
        </w:rPr>
        <w:t>, many</w:t>
      </w:r>
      <w:r w:rsidR="002C4BDB" w:rsidRPr="00BD3BE5">
        <w:rPr>
          <w:rFonts w:cs="Aparajita"/>
        </w:rPr>
        <w:t xml:space="preserve"> because studies have revealed that</w:t>
      </w:r>
      <w:r w:rsidR="00C62461" w:rsidRPr="00BD3BE5">
        <w:rPr>
          <w:rFonts w:cs="Aparajita"/>
        </w:rPr>
        <w:t xml:space="preserve"> Insurance fraud is a real problem that leads to significant financial, societal and humanitarian costs</w:t>
      </w:r>
      <w:r w:rsidR="002C4BDB" w:rsidRPr="00BD3BE5">
        <w:rPr>
          <w:rFonts w:cs="Aparajita"/>
        </w:rPr>
        <w:t xml:space="preserve"> (</w:t>
      </w:r>
      <w:proofErr w:type="spellStart"/>
      <w:r w:rsidR="002C4BDB" w:rsidRPr="00BD3BE5">
        <w:rPr>
          <w:rFonts w:cs="Aparajita"/>
        </w:rPr>
        <w:t>Palasinski</w:t>
      </w:r>
      <w:proofErr w:type="spellEnd"/>
      <w:r w:rsidR="002C4BDB" w:rsidRPr="00BD3BE5">
        <w:rPr>
          <w:rFonts w:cs="Aparajita"/>
        </w:rPr>
        <w:t xml:space="preserve">, 2009). </w:t>
      </w:r>
      <w:r w:rsidR="00C62461" w:rsidRPr="00BD3BE5">
        <w:rPr>
          <w:rFonts w:cs="Aparajita"/>
        </w:rPr>
        <w:t xml:space="preserve">Also </w:t>
      </w:r>
      <w:r w:rsidR="002C4BDB" w:rsidRPr="00BD3BE5">
        <w:rPr>
          <w:rFonts w:cs="Aparajita"/>
        </w:rPr>
        <w:t>it</w:t>
      </w:r>
      <w:r w:rsidR="008C0DAD">
        <w:rPr>
          <w:rFonts w:cs="Aparajita"/>
        </w:rPr>
        <w:t xml:space="preserve"> </w:t>
      </w:r>
      <w:r w:rsidRPr="00BD3BE5">
        <w:rPr>
          <w:rFonts w:cs="Aparajita"/>
        </w:rPr>
        <w:t>is complex, mul</w:t>
      </w:r>
      <w:r w:rsidR="00EA120B" w:rsidRPr="00BD3BE5">
        <w:rPr>
          <w:rFonts w:cs="Aparajita"/>
        </w:rPr>
        <w:t>ti</w:t>
      </w:r>
      <w:r w:rsidRPr="00BD3BE5">
        <w:rPr>
          <w:rFonts w:cs="Aparajita"/>
        </w:rPr>
        <w:t xml:space="preserve">-sided phenomenon. Insurance fraud occurs when an insurance company, agent, </w:t>
      </w:r>
      <w:r w:rsidR="003363DA" w:rsidRPr="00BD3BE5">
        <w:rPr>
          <w:rFonts w:cs="Aparajita"/>
        </w:rPr>
        <w:t>adjuster, policyholder</w:t>
      </w:r>
      <w:r w:rsidRPr="00BD3BE5">
        <w:rPr>
          <w:rFonts w:cs="Aparajita"/>
        </w:rPr>
        <w:t>, third-party claimant or service provider commits a deliberate decep</w:t>
      </w:r>
      <w:r w:rsidR="003363DA" w:rsidRPr="00BD3BE5">
        <w:rPr>
          <w:rFonts w:cs="Aparajita"/>
        </w:rPr>
        <w:t>ti</w:t>
      </w:r>
      <w:r w:rsidRPr="00BD3BE5">
        <w:rPr>
          <w:rFonts w:cs="Aparajita"/>
        </w:rPr>
        <w:t xml:space="preserve">on in order to obtain an </w:t>
      </w:r>
      <w:proofErr w:type="spellStart"/>
      <w:r w:rsidRPr="00BD3BE5">
        <w:rPr>
          <w:rFonts w:cs="Aparajita"/>
        </w:rPr>
        <w:t>illegimate</w:t>
      </w:r>
      <w:proofErr w:type="spellEnd"/>
      <w:r w:rsidRPr="00BD3BE5">
        <w:rPr>
          <w:rFonts w:cs="Aparajita"/>
        </w:rPr>
        <w:t xml:space="preserve"> financial </w:t>
      </w:r>
      <w:r w:rsidR="00806EDD" w:rsidRPr="00BD3BE5">
        <w:rPr>
          <w:rFonts w:cs="Aparajita"/>
        </w:rPr>
        <w:t xml:space="preserve">benefit </w:t>
      </w:r>
      <w:r w:rsidRPr="00BD3BE5">
        <w:rPr>
          <w:rFonts w:cs="Aparajita"/>
        </w:rPr>
        <w:t>during the process of buying, using, selling or underwri</w:t>
      </w:r>
      <w:r w:rsidR="00EA120B" w:rsidRPr="00BD3BE5">
        <w:rPr>
          <w:rFonts w:cs="Aparajita"/>
        </w:rPr>
        <w:t>ti</w:t>
      </w:r>
      <w:r w:rsidRPr="00BD3BE5">
        <w:rPr>
          <w:rFonts w:cs="Aparajita"/>
        </w:rPr>
        <w:t>ng insurance.</w:t>
      </w:r>
      <w:r w:rsidR="00806EDD" w:rsidRPr="00BD3BE5">
        <w:rPr>
          <w:rFonts w:cs="Aparajita"/>
        </w:rPr>
        <w:t xml:space="preserve"> Based upon </w:t>
      </w:r>
      <w:r w:rsidR="00F32D0B" w:rsidRPr="00BD3BE5">
        <w:rPr>
          <w:rFonts w:cs="Aparajita"/>
        </w:rPr>
        <w:t>this argument</w:t>
      </w:r>
      <w:r w:rsidR="00806EDD" w:rsidRPr="00BD3BE5">
        <w:rPr>
          <w:rFonts w:cs="Aparajita"/>
        </w:rPr>
        <w:t xml:space="preserve"> Insurance industry in Jordan considered as an important economic sector and it is worth full to investigate the existence of any fraud indicator that would probably affect the industry </w:t>
      </w:r>
      <w:r w:rsidR="00F32D0B" w:rsidRPr="00BD3BE5">
        <w:rPr>
          <w:rFonts w:cs="Aparajita"/>
        </w:rPr>
        <w:t>growth,</w:t>
      </w:r>
      <w:r w:rsidR="00806EDD" w:rsidRPr="00BD3BE5">
        <w:rPr>
          <w:rFonts w:cs="Aparajita"/>
        </w:rPr>
        <w:t xml:space="preserve"> companies success</w:t>
      </w:r>
      <w:r w:rsidR="00F32D0B" w:rsidRPr="00BD3BE5">
        <w:rPr>
          <w:rFonts w:cs="Aparajita"/>
        </w:rPr>
        <w:t xml:space="preserve"> and quality of services</w:t>
      </w:r>
      <w:r w:rsidR="00806EDD" w:rsidRPr="00BD3BE5">
        <w:rPr>
          <w:rFonts w:cs="Aparajita"/>
        </w:rPr>
        <w:t xml:space="preserve">, therefor the study's problem is to find out if there is any fraud indicators in </w:t>
      </w:r>
      <w:r w:rsidR="00750185" w:rsidRPr="00BD3BE5">
        <w:rPr>
          <w:rFonts w:cs="Aparajita"/>
        </w:rPr>
        <w:t>insurance industry</w:t>
      </w:r>
      <w:r w:rsidR="00806EDD" w:rsidRPr="00BD3BE5">
        <w:rPr>
          <w:rFonts w:cs="Aparajita"/>
        </w:rPr>
        <w:t xml:space="preserve"> in Jordan</w:t>
      </w:r>
      <w:r w:rsidR="00165468" w:rsidRPr="00BD3BE5">
        <w:rPr>
          <w:rFonts w:cs="Aparajita"/>
        </w:rPr>
        <w:t>, for that this study will try to answer the following questions:</w:t>
      </w:r>
    </w:p>
    <w:p w:rsidR="00165468" w:rsidRPr="00BD3BE5" w:rsidRDefault="00750185" w:rsidP="008F1EEE">
      <w:pPr>
        <w:pStyle w:val="a3"/>
        <w:numPr>
          <w:ilvl w:val="0"/>
          <w:numId w:val="7"/>
        </w:numPr>
        <w:tabs>
          <w:tab w:val="left" w:pos="8280"/>
          <w:tab w:val="left" w:pos="9090"/>
          <w:tab w:val="left" w:pos="9180"/>
        </w:tabs>
        <w:bidi w:val="0"/>
        <w:spacing w:line="240" w:lineRule="auto"/>
        <w:jc w:val="mediumKashida"/>
        <w:rPr>
          <w:rFonts w:cs="Aparajita"/>
        </w:rPr>
      </w:pPr>
      <w:r w:rsidRPr="00BD3BE5">
        <w:rPr>
          <w:rFonts w:cs="Aparajita"/>
        </w:rPr>
        <w:t>Do insurance companies have effective internal systems that detect and prevent the fraudulent practices?</w:t>
      </w:r>
    </w:p>
    <w:p w:rsidR="00750185" w:rsidRPr="00BD3BE5" w:rsidRDefault="00750185" w:rsidP="008F1EEE">
      <w:pPr>
        <w:pStyle w:val="a3"/>
        <w:numPr>
          <w:ilvl w:val="0"/>
          <w:numId w:val="7"/>
        </w:numPr>
        <w:tabs>
          <w:tab w:val="left" w:pos="8280"/>
          <w:tab w:val="left" w:pos="9090"/>
          <w:tab w:val="left" w:pos="9180"/>
        </w:tabs>
        <w:bidi w:val="0"/>
        <w:spacing w:line="240" w:lineRule="auto"/>
        <w:jc w:val="mediumKashida"/>
        <w:rPr>
          <w:rFonts w:cs="Aparajita"/>
        </w:rPr>
      </w:pPr>
      <w:r w:rsidRPr="00BD3BE5">
        <w:rPr>
          <w:rFonts w:cs="Aparajita"/>
        </w:rPr>
        <w:t>Do Insured parties have fraudulent practices?</w:t>
      </w:r>
    </w:p>
    <w:p w:rsidR="00750185" w:rsidRPr="00BD3BE5" w:rsidRDefault="00750185" w:rsidP="008F1EEE">
      <w:pPr>
        <w:pStyle w:val="a3"/>
        <w:numPr>
          <w:ilvl w:val="0"/>
          <w:numId w:val="7"/>
        </w:numPr>
        <w:tabs>
          <w:tab w:val="left" w:pos="8280"/>
          <w:tab w:val="left" w:pos="9090"/>
          <w:tab w:val="left" w:pos="9180"/>
        </w:tabs>
        <w:bidi w:val="0"/>
        <w:spacing w:line="240" w:lineRule="auto"/>
        <w:jc w:val="mediumKashida"/>
        <w:rPr>
          <w:rFonts w:cs="Aparajita"/>
        </w:rPr>
      </w:pPr>
      <w:r w:rsidRPr="00BD3BE5">
        <w:rPr>
          <w:rFonts w:cs="Aparajita"/>
        </w:rPr>
        <w:t>Do Insurance Intermediates or /and brokers have fraudulent practices?</w:t>
      </w:r>
    </w:p>
    <w:p w:rsidR="00905B90" w:rsidRDefault="00905B90" w:rsidP="008F1EEE">
      <w:pPr>
        <w:pStyle w:val="a3"/>
        <w:numPr>
          <w:ilvl w:val="0"/>
          <w:numId w:val="7"/>
        </w:numPr>
        <w:tabs>
          <w:tab w:val="left" w:pos="8280"/>
          <w:tab w:val="left" w:pos="9090"/>
          <w:tab w:val="left" w:pos="9180"/>
        </w:tabs>
        <w:bidi w:val="0"/>
        <w:spacing w:line="240" w:lineRule="auto"/>
        <w:jc w:val="mediumKashida"/>
        <w:rPr>
          <w:rFonts w:cs="Aparajita"/>
        </w:rPr>
      </w:pPr>
      <w:r w:rsidRPr="00BD3BE5">
        <w:rPr>
          <w:rFonts w:cs="Aparajita"/>
        </w:rPr>
        <w:t>Do insurance complementary service providers have fraudulent practices?</w:t>
      </w:r>
    </w:p>
    <w:p w:rsidR="009239B2" w:rsidRPr="009239B2" w:rsidRDefault="009239B2" w:rsidP="009239B2">
      <w:pPr>
        <w:tabs>
          <w:tab w:val="left" w:pos="8280"/>
          <w:tab w:val="left" w:pos="9090"/>
          <w:tab w:val="left" w:pos="9180"/>
        </w:tabs>
        <w:bidi w:val="0"/>
        <w:spacing w:line="240" w:lineRule="auto"/>
        <w:jc w:val="mediumKashida"/>
        <w:rPr>
          <w:rFonts w:cs="Aparajita"/>
        </w:rPr>
      </w:pPr>
    </w:p>
    <w:p w:rsidR="00767DC0" w:rsidRPr="00BD3BE5" w:rsidRDefault="00573EC1" w:rsidP="008F1EEE">
      <w:pPr>
        <w:bidi w:val="0"/>
        <w:spacing w:line="240" w:lineRule="auto"/>
        <w:rPr>
          <w:rFonts w:cs="Aparajita"/>
          <w:b/>
          <w:bCs/>
        </w:rPr>
      </w:pPr>
      <w:r w:rsidRPr="00BD3BE5">
        <w:rPr>
          <w:rFonts w:cs="Aparajita"/>
          <w:b/>
          <w:bCs/>
        </w:rPr>
        <w:lastRenderedPageBreak/>
        <w:t>Significant</w:t>
      </w:r>
      <w:r w:rsidR="00767DC0" w:rsidRPr="00BD3BE5">
        <w:rPr>
          <w:rFonts w:cs="Aparajita"/>
          <w:b/>
          <w:bCs/>
        </w:rPr>
        <w:t xml:space="preserve"> of the Study</w:t>
      </w:r>
    </w:p>
    <w:p w:rsidR="004B759D" w:rsidRPr="00BD3BE5" w:rsidRDefault="0022787D" w:rsidP="008F1EEE">
      <w:pPr>
        <w:bidi w:val="0"/>
        <w:spacing w:after="200" w:line="240" w:lineRule="auto"/>
        <w:jc w:val="both"/>
        <w:rPr>
          <w:rFonts w:cs="Aparajita"/>
        </w:rPr>
      </w:pPr>
      <w:r w:rsidRPr="00BD3BE5">
        <w:rPr>
          <w:rFonts w:cs="Aparajita"/>
        </w:rPr>
        <w:t>The importance</w:t>
      </w:r>
      <w:r w:rsidR="00767DC0" w:rsidRPr="00BD3BE5">
        <w:rPr>
          <w:rFonts w:cs="Aparajita"/>
        </w:rPr>
        <w:t xml:space="preserve"> of th</w:t>
      </w:r>
      <w:r w:rsidR="005F0B13" w:rsidRPr="00BD3BE5">
        <w:rPr>
          <w:rFonts w:cs="Aparajita"/>
        </w:rPr>
        <w:t>is</w:t>
      </w:r>
      <w:r w:rsidR="00767DC0" w:rsidRPr="00BD3BE5">
        <w:rPr>
          <w:rFonts w:cs="Aparajita"/>
        </w:rPr>
        <w:t xml:space="preserve"> study came from the importance of the </w:t>
      </w:r>
      <w:r w:rsidRPr="00BD3BE5">
        <w:rPr>
          <w:rFonts w:cs="Aparajita"/>
        </w:rPr>
        <w:t xml:space="preserve">industry </w:t>
      </w:r>
      <w:r w:rsidR="005F0B13" w:rsidRPr="00BD3BE5">
        <w:rPr>
          <w:rFonts w:cs="Aparajita"/>
        </w:rPr>
        <w:t xml:space="preserve"> as it</w:t>
      </w:r>
      <w:r w:rsidR="00767DC0" w:rsidRPr="00BD3BE5">
        <w:rPr>
          <w:rFonts w:cs="Aparajita"/>
        </w:rPr>
        <w:t xml:space="preserve"> plays a significant role for sustainability and development of</w:t>
      </w:r>
      <w:r w:rsidR="00473DC6" w:rsidRPr="00BD3BE5">
        <w:rPr>
          <w:rFonts w:cs="Aparajita"/>
        </w:rPr>
        <w:t xml:space="preserve"> Jordanian's</w:t>
      </w:r>
      <w:r w:rsidR="00767DC0" w:rsidRPr="00BD3BE5">
        <w:rPr>
          <w:rFonts w:cs="Aparajita"/>
        </w:rPr>
        <w:t xml:space="preserve"> national economy, through the </w:t>
      </w:r>
      <w:r w:rsidR="005F0B13" w:rsidRPr="00BD3BE5">
        <w:rPr>
          <w:rFonts w:cs="Aparajita"/>
        </w:rPr>
        <w:t>researcher</w:t>
      </w:r>
      <w:r w:rsidR="004B759D" w:rsidRPr="00BD3BE5">
        <w:rPr>
          <w:rFonts w:cs="Aparajita"/>
        </w:rPr>
        <w:t xml:space="preserve">s </w:t>
      </w:r>
      <w:r w:rsidR="00473DC6" w:rsidRPr="00BD3BE5">
        <w:rPr>
          <w:rFonts w:cs="Aparajita"/>
        </w:rPr>
        <w:t>interaction</w:t>
      </w:r>
      <w:r w:rsidR="00767DC0" w:rsidRPr="00BD3BE5">
        <w:rPr>
          <w:rFonts w:cs="Aparajita"/>
        </w:rPr>
        <w:t xml:space="preserve"> with </w:t>
      </w:r>
      <w:r w:rsidR="004B759D" w:rsidRPr="00BD3BE5">
        <w:rPr>
          <w:rFonts w:cs="Aparajita"/>
        </w:rPr>
        <w:t xml:space="preserve">many </w:t>
      </w:r>
      <w:r w:rsidR="00767DC0" w:rsidRPr="00BD3BE5">
        <w:rPr>
          <w:rFonts w:cs="Aparajita"/>
        </w:rPr>
        <w:t xml:space="preserve">stakeholders in the </w:t>
      </w:r>
      <w:r w:rsidR="005F0B13" w:rsidRPr="00BD3BE5">
        <w:rPr>
          <w:rFonts w:cs="Aparajita"/>
        </w:rPr>
        <w:t>industry</w:t>
      </w:r>
      <w:r w:rsidR="004B759D" w:rsidRPr="00BD3BE5">
        <w:rPr>
          <w:rFonts w:cs="Aparajita"/>
        </w:rPr>
        <w:t xml:space="preserve">, </w:t>
      </w:r>
      <w:r w:rsidR="001F30FE" w:rsidRPr="00BD3BE5">
        <w:rPr>
          <w:rFonts w:cs="Aparajita"/>
        </w:rPr>
        <w:t>they confirmed</w:t>
      </w:r>
      <w:r w:rsidR="005F0B13" w:rsidRPr="00BD3BE5">
        <w:rPr>
          <w:rFonts w:cs="Aparajita"/>
        </w:rPr>
        <w:t xml:space="preserve"> that there is a real concern</w:t>
      </w:r>
      <w:r w:rsidR="001F30FE" w:rsidRPr="00BD3BE5">
        <w:rPr>
          <w:rFonts w:cs="Aparajita"/>
        </w:rPr>
        <w:t xml:space="preserve"> about </w:t>
      </w:r>
      <w:r w:rsidR="005F0B13" w:rsidRPr="00BD3BE5">
        <w:rPr>
          <w:rFonts w:cs="Aparajita"/>
        </w:rPr>
        <w:t xml:space="preserve">the </w:t>
      </w:r>
      <w:r w:rsidR="001F30FE" w:rsidRPr="00BD3BE5">
        <w:rPr>
          <w:rFonts w:cs="Aparajita"/>
        </w:rPr>
        <w:t xml:space="preserve">existence of </w:t>
      </w:r>
      <w:r w:rsidR="00767DC0" w:rsidRPr="00BD3BE5">
        <w:rPr>
          <w:rFonts w:cs="Aparajita"/>
        </w:rPr>
        <w:t xml:space="preserve"> fraud </w:t>
      </w:r>
      <w:r w:rsidR="004B759D" w:rsidRPr="00BD3BE5">
        <w:rPr>
          <w:rFonts w:cs="Aparajita"/>
        </w:rPr>
        <w:t xml:space="preserve">in insurance, </w:t>
      </w:r>
      <w:r w:rsidR="00473DC6" w:rsidRPr="00BD3BE5">
        <w:rPr>
          <w:rFonts w:cs="Aparajita"/>
        </w:rPr>
        <w:t xml:space="preserve"> because</w:t>
      </w:r>
      <w:r w:rsidR="00B17622">
        <w:rPr>
          <w:rFonts w:cs="Aparajita"/>
        </w:rPr>
        <w:t xml:space="preserve"> </w:t>
      </w:r>
      <w:r w:rsidR="00473DC6" w:rsidRPr="00BD3BE5">
        <w:rPr>
          <w:rFonts w:cs="Aparajita"/>
        </w:rPr>
        <w:t>it was</w:t>
      </w:r>
      <w:r w:rsidR="005F0B13" w:rsidRPr="00BD3BE5">
        <w:rPr>
          <w:rFonts w:cs="Aparajita"/>
        </w:rPr>
        <w:t xml:space="preserve"> a</w:t>
      </w:r>
      <w:r w:rsidR="004B759D" w:rsidRPr="00BD3BE5">
        <w:rPr>
          <w:rFonts w:cs="Aparajita"/>
        </w:rPr>
        <w:t xml:space="preserve"> rare</w:t>
      </w:r>
      <w:r w:rsidR="00473DC6" w:rsidRPr="00BD3BE5">
        <w:rPr>
          <w:rFonts w:cs="Aparajita"/>
        </w:rPr>
        <w:t xml:space="preserve"> to find </w:t>
      </w:r>
      <w:r w:rsidR="004B759D" w:rsidRPr="00BD3BE5">
        <w:rPr>
          <w:rFonts w:cs="Aparajita"/>
        </w:rPr>
        <w:t xml:space="preserve">studies </w:t>
      </w:r>
      <w:r w:rsidR="00473DC6" w:rsidRPr="00BD3BE5">
        <w:rPr>
          <w:rFonts w:cs="Aparajita"/>
        </w:rPr>
        <w:t>that cover</w:t>
      </w:r>
      <w:r w:rsidR="004B759D" w:rsidRPr="00BD3BE5">
        <w:rPr>
          <w:rFonts w:cs="Aparajita"/>
        </w:rPr>
        <w:t xml:space="preserve"> this issue and</w:t>
      </w:r>
      <w:r w:rsidR="00473DC6" w:rsidRPr="00BD3BE5">
        <w:rPr>
          <w:rFonts w:cs="Aparajita"/>
        </w:rPr>
        <w:t xml:space="preserve"> there is</w:t>
      </w:r>
      <w:r w:rsidR="004B759D" w:rsidRPr="00BD3BE5">
        <w:rPr>
          <w:rFonts w:cs="Aparajita"/>
        </w:rPr>
        <w:t xml:space="preserve"> no clear statistics available to show this problem, this study will try to find out </w:t>
      </w:r>
      <w:r w:rsidR="005F0B13" w:rsidRPr="00BD3BE5">
        <w:rPr>
          <w:rFonts w:cs="Aparajita"/>
        </w:rPr>
        <w:t>whether</w:t>
      </w:r>
      <w:r w:rsidR="004B759D" w:rsidRPr="00BD3BE5">
        <w:rPr>
          <w:rFonts w:cs="Aparajita"/>
        </w:rPr>
        <w:t xml:space="preserve"> there </w:t>
      </w:r>
      <w:r w:rsidR="005F0B13" w:rsidRPr="00BD3BE5">
        <w:rPr>
          <w:rFonts w:cs="Aparajita"/>
        </w:rPr>
        <w:t>is</w:t>
      </w:r>
      <w:r w:rsidR="004B759D" w:rsidRPr="00BD3BE5">
        <w:rPr>
          <w:rFonts w:cs="Aparajita"/>
        </w:rPr>
        <w:t xml:space="preserve"> any</w:t>
      </w:r>
      <w:r w:rsidR="00B17622">
        <w:rPr>
          <w:rFonts w:cs="Aparajita"/>
        </w:rPr>
        <w:t xml:space="preserve"> </w:t>
      </w:r>
      <w:r w:rsidR="00144F8E">
        <w:rPr>
          <w:rFonts w:cs="Aparajita"/>
        </w:rPr>
        <w:t xml:space="preserve"> </w:t>
      </w:r>
      <w:r w:rsidR="004B759D" w:rsidRPr="00BD3BE5">
        <w:rPr>
          <w:rFonts w:cs="Aparajita"/>
        </w:rPr>
        <w:t>indicator of fraud exist in the industry</w:t>
      </w:r>
      <w:r w:rsidR="005F0B13" w:rsidRPr="00BD3BE5">
        <w:rPr>
          <w:rFonts w:cs="Aparajita"/>
        </w:rPr>
        <w:t xml:space="preserve"> or not</w:t>
      </w:r>
      <w:r w:rsidR="004B759D" w:rsidRPr="00BD3BE5">
        <w:rPr>
          <w:rFonts w:cs="Aparajita"/>
        </w:rPr>
        <w:t xml:space="preserve">. Furthermore this study will open the door toward deeper research works </w:t>
      </w:r>
      <w:r w:rsidR="00473DC6" w:rsidRPr="00BD3BE5">
        <w:rPr>
          <w:rFonts w:cs="Aparajita"/>
        </w:rPr>
        <w:t>regarding</w:t>
      </w:r>
      <w:r w:rsidR="004B759D" w:rsidRPr="00BD3BE5">
        <w:rPr>
          <w:rFonts w:cs="Aparajita"/>
        </w:rPr>
        <w:t xml:space="preserve"> this problem in emerging economies, e.g. Jordan. Also we expect that the findings of this study will be of a real help to stakeholders and decision makers to further </w:t>
      </w:r>
      <w:r w:rsidR="001F30FE" w:rsidRPr="00BD3BE5">
        <w:rPr>
          <w:rFonts w:cs="Aparajita"/>
        </w:rPr>
        <w:t>development of</w:t>
      </w:r>
      <w:r w:rsidR="004B759D" w:rsidRPr="00BD3BE5">
        <w:rPr>
          <w:rFonts w:cs="Aparajita"/>
        </w:rPr>
        <w:t xml:space="preserve"> insurance industry in Jordan.</w:t>
      </w:r>
    </w:p>
    <w:p w:rsidR="005F0B13" w:rsidRPr="00BD3BE5" w:rsidRDefault="00793012" w:rsidP="008F1EEE">
      <w:pPr>
        <w:bidi w:val="0"/>
        <w:spacing w:after="200" w:line="240" w:lineRule="auto"/>
        <w:rPr>
          <w:rFonts w:cs="Aparajita"/>
          <w:b/>
          <w:bCs/>
        </w:rPr>
      </w:pPr>
      <w:r w:rsidRPr="00BD3BE5">
        <w:rPr>
          <w:rFonts w:cs="Aparajita"/>
          <w:b/>
          <w:bCs/>
        </w:rPr>
        <w:t>Objectives of the study:</w:t>
      </w:r>
    </w:p>
    <w:p w:rsidR="00793012" w:rsidRPr="00BD3BE5" w:rsidRDefault="00793012" w:rsidP="008F1EEE">
      <w:pPr>
        <w:bidi w:val="0"/>
        <w:spacing w:after="200" w:line="240" w:lineRule="auto"/>
        <w:rPr>
          <w:rFonts w:cs="Aparajita"/>
        </w:rPr>
      </w:pPr>
      <w:r w:rsidRPr="00BD3BE5">
        <w:rPr>
          <w:rFonts w:cs="Aparajita"/>
        </w:rPr>
        <w:t>This study will try to achieve the following objectives:</w:t>
      </w:r>
    </w:p>
    <w:p w:rsidR="00861CCE" w:rsidRPr="00BD3BE5" w:rsidRDefault="00861CCE" w:rsidP="008F1EEE">
      <w:pPr>
        <w:pStyle w:val="a3"/>
        <w:numPr>
          <w:ilvl w:val="0"/>
          <w:numId w:val="9"/>
        </w:numPr>
        <w:tabs>
          <w:tab w:val="left" w:pos="8280"/>
          <w:tab w:val="left" w:pos="9090"/>
          <w:tab w:val="left" w:pos="9180"/>
        </w:tabs>
        <w:bidi w:val="0"/>
        <w:spacing w:line="240" w:lineRule="auto"/>
        <w:jc w:val="mediumKashida"/>
        <w:rPr>
          <w:rFonts w:cs="Aparajita"/>
        </w:rPr>
      </w:pPr>
      <w:r w:rsidRPr="00BD3BE5">
        <w:rPr>
          <w:rFonts w:cs="Aparajita"/>
        </w:rPr>
        <w:t>To examine the effectiveness of insurance companies internal systems regarding detection and prevention of fraudulent practices.</w:t>
      </w:r>
    </w:p>
    <w:p w:rsidR="00861CCE" w:rsidRPr="00BD3BE5" w:rsidRDefault="00861CCE" w:rsidP="008F1EEE">
      <w:pPr>
        <w:pStyle w:val="a3"/>
        <w:numPr>
          <w:ilvl w:val="0"/>
          <w:numId w:val="9"/>
        </w:numPr>
        <w:tabs>
          <w:tab w:val="left" w:pos="8280"/>
          <w:tab w:val="left" w:pos="9090"/>
          <w:tab w:val="left" w:pos="9180"/>
        </w:tabs>
        <w:bidi w:val="0"/>
        <w:spacing w:line="240" w:lineRule="auto"/>
        <w:jc w:val="mediumKashida"/>
        <w:rPr>
          <w:rFonts w:cs="Aparajita"/>
        </w:rPr>
      </w:pPr>
      <w:r w:rsidRPr="00BD3BE5">
        <w:rPr>
          <w:rFonts w:cs="Aparajita"/>
        </w:rPr>
        <w:t>To identify if there is any fraudulent practices committed by Insured parties.</w:t>
      </w:r>
    </w:p>
    <w:p w:rsidR="00861CCE" w:rsidRPr="00BD3BE5" w:rsidRDefault="00861CCE" w:rsidP="008F1EEE">
      <w:pPr>
        <w:pStyle w:val="a3"/>
        <w:numPr>
          <w:ilvl w:val="0"/>
          <w:numId w:val="9"/>
        </w:numPr>
        <w:tabs>
          <w:tab w:val="left" w:pos="8280"/>
          <w:tab w:val="left" w:pos="9090"/>
          <w:tab w:val="left" w:pos="9180"/>
        </w:tabs>
        <w:bidi w:val="0"/>
        <w:spacing w:line="240" w:lineRule="auto"/>
        <w:jc w:val="mediumKashida"/>
        <w:rPr>
          <w:rFonts w:cs="Aparajita"/>
        </w:rPr>
      </w:pPr>
      <w:r w:rsidRPr="00BD3BE5">
        <w:rPr>
          <w:rFonts w:cs="Aparajita"/>
        </w:rPr>
        <w:t>To identify if there is any fraudulent practices committed by Insurance Intermediates or /and brokers.</w:t>
      </w:r>
    </w:p>
    <w:p w:rsidR="00861CCE" w:rsidRPr="00BD3BE5" w:rsidRDefault="00861CCE" w:rsidP="008F1EEE">
      <w:pPr>
        <w:pStyle w:val="a3"/>
        <w:numPr>
          <w:ilvl w:val="0"/>
          <w:numId w:val="9"/>
        </w:numPr>
        <w:tabs>
          <w:tab w:val="left" w:pos="8280"/>
          <w:tab w:val="left" w:pos="9090"/>
          <w:tab w:val="left" w:pos="9180"/>
        </w:tabs>
        <w:bidi w:val="0"/>
        <w:spacing w:line="240" w:lineRule="auto"/>
        <w:jc w:val="mediumKashida"/>
        <w:rPr>
          <w:rFonts w:cs="Aparajita"/>
        </w:rPr>
      </w:pPr>
      <w:r w:rsidRPr="00BD3BE5">
        <w:rPr>
          <w:rFonts w:cs="Aparajita"/>
        </w:rPr>
        <w:t>To identify if there is any fraudulent practices committed by insurance complementary service providers</w:t>
      </w:r>
    </w:p>
    <w:p w:rsidR="00861CCE" w:rsidRPr="00BD3BE5" w:rsidRDefault="00861CCE" w:rsidP="008F1EEE">
      <w:pPr>
        <w:pStyle w:val="a3"/>
        <w:tabs>
          <w:tab w:val="left" w:pos="8280"/>
          <w:tab w:val="left" w:pos="9090"/>
          <w:tab w:val="left" w:pos="9180"/>
        </w:tabs>
        <w:bidi w:val="0"/>
        <w:spacing w:line="240" w:lineRule="auto"/>
        <w:jc w:val="mediumKashida"/>
        <w:rPr>
          <w:rFonts w:cs="Aparajita"/>
        </w:rPr>
      </w:pPr>
    </w:p>
    <w:p w:rsidR="00793012" w:rsidRPr="00BD3BE5" w:rsidRDefault="00861CCE" w:rsidP="008F1EEE">
      <w:pPr>
        <w:bidi w:val="0"/>
        <w:spacing w:after="200" w:line="240" w:lineRule="auto"/>
        <w:rPr>
          <w:rFonts w:cs="Aparajita"/>
          <w:b/>
          <w:bCs/>
        </w:rPr>
      </w:pPr>
      <w:r w:rsidRPr="00BD3BE5">
        <w:rPr>
          <w:rFonts w:cs="Aparajita"/>
          <w:b/>
          <w:bCs/>
        </w:rPr>
        <w:t>Research Methodology:</w:t>
      </w:r>
    </w:p>
    <w:p w:rsidR="00502B1F" w:rsidRPr="00BD3BE5" w:rsidRDefault="00502B1F" w:rsidP="008F1EEE">
      <w:pPr>
        <w:autoSpaceDE w:val="0"/>
        <w:autoSpaceDN w:val="0"/>
        <w:bidi w:val="0"/>
        <w:adjustRightInd w:val="0"/>
        <w:spacing w:after="0" w:line="240" w:lineRule="auto"/>
        <w:jc w:val="both"/>
        <w:rPr>
          <w:rFonts w:cs="Times New Roman"/>
        </w:rPr>
      </w:pPr>
      <w:r w:rsidRPr="00BD3BE5">
        <w:rPr>
          <w:rFonts w:cs="Times New Roman"/>
        </w:rPr>
        <w:t xml:space="preserve">The design of this research was qualitative; based on literature review and a questionnaire. The questionnaire used to measure the factors that might explain the chance of fraud commitment by </w:t>
      </w:r>
      <w:r w:rsidR="002120E0" w:rsidRPr="00BD3BE5">
        <w:rPr>
          <w:rFonts w:cs="Times New Roman"/>
        </w:rPr>
        <w:t>insurance process participants.</w:t>
      </w:r>
      <w:r w:rsidRPr="00BD3BE5">
        <w:rPr>
          <w:rFonts w:cs="Times New Roman"/>
        </w:rPr>
        <w:t xml:space="preserve"> A </w:t>
      </w:r>
      <w:proofErr w:type="spellStart"/>
      <w:r w:rsidRPr="00BD3BE5">
        <w:rPr>
          <w:rFonts w:cs="Times New Roman"/>
        </w:rPr>
        <w:t>likart</w:t>
      </w:r>
      <w:proofErr w:type="spellEnd"/>
      <w:r w:rsidRPr="00BD3BE5">
        <w:rPr>
          <w:rFonts w:cs="Times New Roman"/>
        </w:rPr>
        <w:t xml:space="preserve"> 5-point scale was used to investigate these factors. The questionnaire</w:t>
      </w:r>
      <w:r w:rsidR="00A82E4F" w:rsidRPr="00BD3BE5">
        <w:rPr>
          <w:rFonts w:cs="Times New Roman"/>
        </w:rPr>
        <w:t xml:space="preserve"> is structured to measure the  4 </w:t>
      </w:r>
      <w:r w:rsidRPr="00BD3BE5">
        <w:rPr>
          <w:rFonts w:cs="Times New Roman"/>
        </w:rPr>
        <w:t>var</w:t>
      </w:r>
      <w:r w:rsidR="00A82E4F" w:rsidRPr="00BD3BE5">
        <w:rPr>
          <w:rFonts w:cs="Times New Roman"/>
        </w:rPr>
        <w:t>iables; it includes a total of (39</w:t>
      </w:r>
      <w:r w:rsidRPr="00BD3BE5">
        <w:rPr>
          <w:rFonts w:cs="Times New Roman"/>
        </w:rPr>
        <w:t>) questions designed to evaluate the respondent’s opinions toward these variables</w:t>
      </w:r>
      <w:r w:rsidR="002120E0" w:rsidRPr="00BD3BE5">
        <w:rPr>
          <w:rFonts w:cs="Times New Roman"/>
        </w:rPr>
        <w:t>.</w:t>
      </w:r>
    </w:p>
    <w:p w:rsidR="00502B1F" w:rsidRPr="00BD3BE5" w:rsidRDefault="00502B1F" w:rsidP="008F1EEE">
      <w:pPr>
        <w:spacing w:line="240" w:lineRule="auto"/>
        <w:ind w:left="720"/>
        <w:jc w:val="right"/>
        <w:rPr>
          <w:rFonts w:cs="Times New Roman"/>
          <w:b/>
          <w:bCs/>
          <w:u w:val="single"/>
          <w:lang w:bidi="ar-JO"/>
        </w:rPr>
      </w:pPr>
    </w:p>
    <w:p w:rsidR="00502B1F" w:rsidRPr="00BD3BE5" w:rsidRDefault="00502B1F" w:rsidP="008F1EEE">
      <w:pPr>
        <w:spacing w:line="240" w:lineRule="auto"/>
        <w:ind w:left="720"/>
        <w:jc w:val="right"/>
        <w:rPr>
          <w:b/>
          <w:bCs/>
          <w:rtl/>
          <w:lang w:bidi="ar-JO"/>
        </w:rPr>
      </w:pPr>
      <w:r w:rsidRPr="00BD3BE5">
        <w:rPr>
          <w:rFonts w:cs="Times-Bold"/>
          <w:b/>
          <w:bCs/>
        </w:rPr>
        <w:t>Hypotheses of the Study</w:t>
      </w:r>
    </w:p>
    <w:p w:rsidR="00285FB8" w:rsidRPr="00BD3BE5" w:rsidRDefault="00BA30C1" w:rsidP="008F1EEE">
      <w:pPr>
        <w:pStyle w:val="a3"/>
        <w:numPr>
          <w:ilvl w:val="0"/>
          <w:numId w:val="10"/>
        </w:numPr>
        <w:bidi w:val="0"/>
        <w:spacing w:line="240" w:lineRule="auto"/>
        <w:rPr>
          <w:rFonts w:cs="Times New Roman"/>
        </w:rPr>
      </w:pPr>
      <w:r w:rsidRPr="00BD3BE5">
        <w:rPr>
          <w:rFonts w:cs="Times New Roman"/>
        </w:rPr>
        <w:t>H</w:t>
      </w:r>
      <w:r w:rsidR="00285FB8" w:rsidRPr="00BD3BE5">
        <w:rPr>
          <w:rFonts w:cs="Times New Roman"/>
        </w:rPr>
        <w:t xml:space="preserve">1 </w:t>
      </w:r>
      <w:r w:rsidR="00285FB8" w:rsidRPr="00BD3BE5">
        <w:rPr>
          <w:rFonts w:cs="Aparajita"/>
        </w:rPr>
        <w:t>Insurance companies have effective internal systems tha</w:t>
      </w:r>
      <w:r w:rsidR="00A82E4F" w:rsidRPr="00BD3BE5">
        <w:rPr>
          <w:rFonts w:cs="Aparajita"/>
        </w:rPr>
        <w:t xml:space="preserve">t able to detect and prevent </w:t>
      </w:r>
      <w:r w:rsidR="00285FB8" w:rsidRPr="00BD3BE5">
        <w:rPr>
          <w:rFonts w:cs="Aparajita"/>
        </w:rPr>
        <w:t>fraudulent practices</w:t>
      </w:r>
    </w:p>
    <w:p w:rsidR="00285FB8" w:rsidRPr="00BD3BE5" w:rsidRDefault="00BA30C1" w:rsidP="008F1EEE">
      <w:pPr>
        <w:pStyle w:val="a3"/>
        <w:numPr>
          <w:ilvl w:val="0"/>
          <w:numId w:val="10"/>
        </w:numPr>
        <w:bidi w:val="0"/>
        <w:spacing w:line="240" w:lineRule="auto"/>
        <w:rPr>
          <w:rFonts w:cs="Times New Roman"/>
        </w:rPr>
      </w:pPr>
      <w:r w:rsidRPr="00BD3BE5">
        <w:rPr>
          <w:rFonts w:cs="Times New Roman"/>
        </w:rPr>
        <w:t>H</w:t>
      </w:r>
      <w:r w:rsidR="00285FB8" w:rsidRPr="00BD3BE5">
        <w:rPr>
          <w:rFonts w:cs="Times New Roman"/>
        </w:rPr>
        <w:t xml:space="preserve">2 </w:t>
      </w:r>
      <w:r w:rsidR="00285FB8" w:rsidRPr="00BD3BE5">
        <w:rPr>
          <w:rFonts w:cs="Aparajita"/>
        </w:rPr>
        <w:t xml:space="preserve">Insurance companies </w:t>
      </w:r>
      <w:r w:rsidR="00285FB8" w:rsidRPr="00BD3BE5">
        <w:rPr>
          <w:rFonts w:cs="Times New Roman"/>
        </w:rPr>
        <w:t>do not face any</w:t>
      </w:r>
      <w:r w:rsidR="00285FB8" w:rsidRPr="00BD3BE5">
        <w:rPr>
          <w:rFonts w:cs="Aparajita"/>
        </w:rPr>
        <w:t xml:space="preserve"> fraudulent practices committed by Insured parties</w:t>
      </w:r>
      <w:r w:rsidR="00285FB8" w:rsidRPr="00BD3BE5">
        <w:rPr>
          <w:rFonts w:cs="Times New Roman"/>
        </w:rPr>
        <w:t>.</w:t>
      </w:r>
    </w:p>
    <w:p w:rsidR="00AA62A4" w:rsidRPr="00BD3BE5" w:rsidRDefault="00BA30C1" w:rsidP="008F1EEE">
      <w:pPr>
        <w:pStyle w:val="a3"/>
        <w:numPr>
          <w:ilvl w:val="0"/>
          <w:numId w:val="10"/>
        </w:numPr>
        <w:tabs>
          <w:tab w:val="left" w:pos="8280"/>
          <w:tab w:val="left" w:pos="9090"/>
          <w:tab w:val="left" w:pos="9180"/>
        </w:tabs>
        <w:bidi w:val="0"/>
        <w:spacing w:line="240" w:lineRule="auto"/>
        <w:rPr>
          <w:rFonts w:cs="Aparajita"/>
        </w:rPr>
      </w:pPr>
      <w:r w:rsidRPr="00BD3BE5">
        <w:rPr>
          <w:rFonts w:cs="Times New Roman"/>
        </w:rPr>
        <w:t>H</w:t>
      </w:r>
      <w:r w:rsidR="00285FB8" w:rsidRPr="00BD3BE5">
        <w:rPr>
          <w:rFonts w:cs="Times New Roman"/>
        </w:rPr>
        <w:t>3</w:t>
      </w:r>
      <w:r w:rsidR="00285FB8" w:rsidRPr="00BD3BE5">
        <w:rPr>
          <w:rFonts w:cs="Aparajita"/>
        </w:rPr>
        <w:t xml:space="preserve">Insurance companies </w:t>
      </w:r>
      <w:r w:rsidR="00285FB8" w:rsidRPr="00BD3BE5">
        <w:rPr>
          <w:rFonts w:cs="Times New Roman"/>
        </w:rPr>
        <w:t>do not face any</w:t>
      </w:r>
      <w:r w:rsidR="00285FB8" w:rsidRPr="00BD3BE5">
        <w:rPr>
          <w:rFonts w:cs="Aparajita"/>
        </w:rPr>
        <w:t xml:space="preserve"> fraudulent practices committed </w:t>
      </w:r>
      <w:r w:rsidR="00AA62A4" w:rsidRPr="00BD3BE5">
        <w:rPr>
          <w:rFonts w:cs="Aparajita"/>
        </w:rPr>
        <w:t>by Insurance Intermediates or /and brokers.</w:t>
      </w:r>
    </w:p>
    <w:p w:rsidR="00AA62A4" w:rsidRPr="00BD3BE5" w:rsidRDefault="00BA30C1" w:rsidP="008F1EEE">
      <w:pPr>
        <w:pStyle w:val="a3"/>
        <w:numPr>
          <w:ilvl w:val="0"/>
          <w:numId w:val="10"/>
        </w:numPr>
        <w:tabs>
          <w:tab w:val="left" w:pos="8280"/>
          <w:tab w:val="left" w:pos="9090"/>
          <w:tab w:val="left" w:pos="9180"/>
        </w:tabs>
        <w:bidi w:val="0"/>
        <w:spacing w:line="240" w:lineRule="auto"/>
        <w:rPr>
          <w:rFonts w:cs="Aparajita"/>
        </w:rPr>
      </w:pPr>
      <w:r w:rsidRPr="00BD3BE5">
        <w:rPr>
          <w:rFonts w:cs="Times New Roman"/>
        </w:rPr>
        <w:t>H</w:t>
      </w:r>
      <w:r w:rsidR="00285FB8" w:rsidRPr="00BD3BE5">
        <w:rPr>
          <w:rFonts w:cs="Times New Roman"/>
        </w:rPr>
        <w:t>4</w:t>
      </w:r>
      <w:r w:rsidR="00285FB8" w:rsidRPr="00BD3BE5">
        <w:rPr>
          <w:rFonts w:cs="Aparajita"/>
        </w:rPr>
        <w:t xml:space="preserve">Insurance companies </w:t>
      </w:r>
      <w:r w:rsidR="00285FB8" w:rsidRPr="00BD3BE5">
        <w:rPr>
          <w:rFonts w:cs="Times New Roman"/>
        </w:rPr>
        <w:t>do not face any</w:t>
      </w:r>
      <w:r w:rsidR="00285FB8" w:rsidRPr="00BD3BE5">
        <w:rPr>
          <w:rFonts w:cs="Aparajita"/>
        </w:rPr>
        <w:t xml:space="preserve"> fraudulent practices committed by </w:t>
      </w:r>
      <w:r w:rsidR="00AA62A4" w:rsidRPr="00BD3BE5">
        <w:rPr>
          <w:rFonts w:cs="Aparajita"/>
        </w:rPr>
        <w:t>insurance complementary service providers.</w:t>
      </w:r>
    </w:p>
    <w:p w:rsidR="005379B5" w:rsidRPr="00BD3BE5" w:rsidRDefault="005379B5" w:rsidP="008F1EEE">
      <w:pPr>
        <w:spacing w:line="240" w:lineRule="auto"/>
        <w:jc w:val="right"/>
        <w:rPr>
          <w:b/>
          <w:bCs/>
          <w:rtl/>
          <w:lang w:bidi="ar-JO"/>
        </w:rPr>
      </w:pPr>
      <w:r w:rsidRPr="00BD3BE5">
        <w:rPr>
          <w:rFonts w:cs="Times-Bold"/>
          <w:b/>
          <w:bCs/>
        </w:rPr>
        <w:t>The Sample of the Study</w:t>
      </w:r>
    </w:p>
    <w:p w:rsidR="00560950" w:rsidRDefault="005379B5" w:rsidP="008F1EEE">
      <w:pPr>
        <w:autoSpaceDE w:val="0"/>
        <w:autoSpaceDN w:val="0"/>
        <w:adjustRightInd w:val="0"/>
        <w:spacing w:after="0" w:line="240" w:lineRule="auto"/>
        <w:jc w:val="right"/>
        <w:rPr>
          <w:rFonts w:cs="Times New Roman"/>
        </w:rPr>
      </w:pPr>
      <w:r w:rsidRPr="00BD3BE5">
        <w:rPr>
          <w:rFonts w:cs="Times New Roman"/>
        </w:rPr>
        <w:t xml:space="preserve">The sample of the study consist of </w:t>
      </w:r>
      <w:r w:rsidR="00560950" w:rsidRPr="00BD3BE5">
        <w:rPr>
          <w:rFonts w:cs="Times New Roman"/>
        </w:rPr>
        <w:t xml:space="preserve">25 insurance company, where a three questionnaires have been sent to each company , the total questionnaires </w:t>
      </w:r>
      <w:r w:rsidR="00A82E4F" w:rsidRPr="00BD3BE5">
        <w:rPr>
          <w:rFonts w:cs="Times New Roman"/>
        </w:rPr>
        <w:t xml:space="preserve">that are </w:t>
      </w:r>
      <w:r w:rsidR="00560950" w:rsidRPr="00BD3BE5">
        <w:rPr>
          <w:rFonts w:cs="Times New Roman"/>
        </w:rPr>
        <w:t>sent</w:t>
      </w:r>
      <w:r w:rsidR="00A82E4F" w:rsidRPr="00BD3BE5">
        <w:rPr>
          <w:rFonts w:cs="Times New Roman"/>
        </w:rPr>
        <w:t xml:space="preserve"> were</w:t>
      </w:r>
      <w:r w:rsidR="00560950" w:rsidRPr="00BD3BE5">
        <w:rPr>
          <w:rFonts w:cs="Times New Roman"/>
        </w:rPr>
        <w:t xml:space="preserve"> (75) and only a (56) questionnaires have been returned and were valid for the purpose of</w:t>
      </w:r>
      <w:r w:rsidR="00797FF9" w:rsidRPr="00BD3BE5">
        <w:rPr>
          <w:rFonts w:cs="Times New Roman"/>
        </w:rPr>
        <w:t xml:space="preserve"> the</w:t>
      </w:r>
      <w:r w:rsidR="00560950" w:rsidRPr="00BD3BE5">
        <w:rPr>
          <w:rFonts w:cs="Times New Roman"/>
        </w:rPr>
        <w:t xml:space="preserve"> analysis. </w:t>
      </w:r>
    </w:p>
    <w:p w:rsidR="009239B2" w:rsidRPr="00BD3BE5" w:rsidRDefault="009239B2" w:rsidP="008F1EEE">
      <w:pPr>
        <w:autoSpaceDE w:val="0"/>
        <w:autoSpaceDN w:val="0"/>
        <w:adjustRightInd w:val="0"/>
        <w:spacing w:after="0" w:line="240" w:lineRule="auto"/>
        <w:jc w:val="right"/>
        <w:rPr>
          <w:rFonts w:cs="Times New Roman"/>
          <w:rtl/>
          <w:lang w:bidi="ar-JO"/>
        </w:rPr>
      </w:pPr>
    </w:p>
    <w:p w:rsidR="000078F0" w:rsidRPr="00BD3BE5" w:rsidRDefault="008F1EEE" w:rsidP="008F1EEE">
      <w:pPr>
        <w:bidi w:val="0"/>
        <w:spacing w:after="200" w:line="240" w:lineRule="auto"/>
        <w:rPr>
          <w:rFonts w:cs="Aparajita"/>
          <w:b/>
          <w:bCs/>
        </w:rPr>
      </w:pPr>
      <w:r w:rsidRPr="00BD3BE5">
        <w:rPr>
          <w:rFonts w:cs="Aparajita"/>
          <w:b/>
          <w:bCs/>
        </w:rPr>
        <w:lastRenderedPageBreak/>
        <w:t xml:space="preserve">Theoretical </w:t>
      </w:r>
      <w:r w:rsidR="000078F0" w:rsidRPr="00BD3BE5">
        <w:rPr>
          <w:rFonts w:cs="Aparajita"/>
          <w:b/>
          <w:bCs/>
        </w:rPr>
        <w:t>review</w:t>
      </w:r>
    </w:p>
    <w:p w:rsidR="00D324F4" w:rsidRPr="00BD3BE5" w:rsidRDefault="00BE4821" w:rsidP="008F1EEE">
      <w:pPr>
        <w:bidi w:val="0"/>
        <w:spacing w:line="240" w:lineRule="auto"/>
        <w:jc w:val="both"/>
        <w:rPr>
          <w:rFonts w:cs="TimesNewRoman"/>
        </w:rPr>
      </w:pPr>
      <w:r w:rsidRPr="00BD3BE5">
        <w:rPr>
          <w:rFonts w:cs="TimesNewRoman"/>
        </w:rPr>
        <w:t>Fraud is defined as applying the methods of deception or any device, that would culminate in an individual or groups gaining advantages over others, by making wrong suggestions or not telling the truth which includes all surprises, tricks, cunning or dissembling, in any unfair way (</w:t>
      </w:r>
      <w:proofErr w:type="spellStart"/>
      <w:r w:rsidRPr="00BD3BE5">
        <w:rPr>
          <w:rFonts w:cs="TimesNewRoman"/>
        </w:rPr>
        <w:t>Albrecht</w:t>
      </w:r>
      <w:r w:rsidR="00F02AE9" w:rsidRPr="00BD3BE5">
        <w:rPr>
          <w:rFonts w:cs="TimesNewRoman"/>
        </w:rPr>
        <w:t>e</w:t>
      </w:r>
      <w:r w:rsidR="00203DF6" w:rsidRPr="00BD3BE5">
        <w:rPr>
          <w:rFonts w:cs="TimesNewRoman"/>
        </w:rPr>
        <w:t>t</w:t>
      </w:r>
      <w:proofErr w:type="spellEnd"/>
      <w:r w:rsidR="00203DF6" w:rsidRPr="00BD3BE5">
        <w:rPr>
          <w:rFonts w:cs="TimesNewRoman"/>
        </w:rPr>
        <w:t xml:space="preserve"> </w:t>
      </w:r>
      <w:r w:rsidR="00F02AE9" w:rsidRPr="00BD3BE5">
        <w:rPr>
          <w:rFonts w:cs="TimesNewRoman"/>
        </w:rPr>
        <w:t>a</w:t>
      </w:r>
      <w:r w:rsidR="00203DF6" w:rsidRPr="00BD3BE5">
        <w:rPr>
          <w:rFonts w:cs="TimesNewRoman"/>
        </w:rPr>
        <w:t xml:space="preserve">l </w:t>
      </w:r>
      <w:r w:rsidRPr="00BD3BE5">
        <w:rPr>
          <w:rFonts w:cs="TimesNewRoman"/>
        </w:rPr>
        <w:t>201</w:t>
      </w:r>
      <w:r w:rsidR="00D324F4" w:rsidRPr="00BD3BE5">
        <w:rPr>
          <w:rFonts w:cs="TimesNewRoman"/>
        </w:rPr>
        <w:t>2</w:t>
      </w:r>
      <w:r w:rsidRPr="00BD3BE5">
        <w:rPr>
          <w:rFonts w:cs="TimesNewRoman"/>
        </w:rPr>
        <w:t>;Wells, 2011).</w:t>
      </w:r>
    </w:p>
    <w:p w:rsidR="003B2F49" w:rsidRPr="00BD3BE5" w:rsidRDefault="00CF1FF4" w:rsidP="008F1EEE">
      <w:pPr>
        <w:bidi w:val="0"/>
        <w:spacing w:line="240" w:lineRule="auto"/>
        <w:jc w:val="both"/>
        <w:rPr>
          <w:rFonts w:cs="TimesNewRoman"/>
        </w:rPr>
      </w:pPr>
      <w:r w:rsidRPr="00BD3BE5">
        <w:rPr>
          <w:rFonts w:cs="TimesNewRoman"/>
        </w:rPr>
        <w:t xml:space="preserve">Insurance fraud </w:t>
      </w:r>
      <w:r w:rsidR="00FD715F" w:rsidRPr="00BD3BE5">
        <w:rPr>
          <w:rFonts w:cs="TimesNewRoman"/>
        </w:rPr>
        <w:t xml:space="preserve">has significant financial, societal and humanitarian costs, its complex, multi-sided phenomenon, and has many types of insurance fraud, which include offences of individuals against individuals, individuals against companies, companies against individuals and companies against other companies, therefor it is definitely affecting the insurance companies’ earnings, reserve deficiencies, rising loss costs and other insurance expenses, as well as pricing difficulties, for </w:t>
      </w:r>
      <w:r w:rsidR="002C4BDB" w:rsidRPr="00BD3BE5">
        <w:rPr>
          <w:rFonts w:cs="TimesNewRoman"/>
        </w:rPr>
        <w:t xml:space="preserve">example, </w:t>
      </w:r>
      <w:r w:rsidR="00FD715F" w:rsidRPr="00BD3BE5">
        <w:rPr>
          <w:rFonts w:cs="TimesNewRoman"/>
        </w:rPr>
        <w:t>fraud in motor</w:t>
      </w:r>
      <w:r w:rsidR="002C4BDB" w:rsidRPr="00BD3BE5">
        <w:rPr>
          <w:rFonts w:cs="TimesNewRoman"/>
        </w:rPr>
        <w:t xml:space="preserve"> insurance is historically one of the most costly fraud</w:t>
      </w:r>
      <w:r w:rsidR="00144F8E">
        <w:rPr>
          <w:rFonts w:cs="TimesNewRoman"/>
        </w:rPr>
        <w:t xml:space="preserve"> </w:t>
      </w:r>
      <w:r w:rsidR="002C4BDB" w:rsidRPr="00BD3BE5">
        <w:rPr>
          <w:rFonts w:cs="TimesNewRoman"/>
        </w:rPr>
        <w:t>scandals in the</w:t>
      </w:r>
      <w:r w:rsidR="00FD715F" w:rsidRPr="00BD3BE5">
        <w:rPr>
          <w:rFonts w:cs="TimesNewRoman"/>
        </w:rPr>
        <w:t xml:space="preserve"> world, according to (Coalition Against Insurance Fraud, 2012)  in the </w:t>
      </w:r>
      <w:r w:rsidR="002C4BDB" w:rsidRPr="00BD3BE5">
        <w:rPr>
          <w:rFonts w:cs="TimesNewRoman"/>
        </w:rPr>
        <w:t>United States</w:t>
      </w:r>
      <w:r w:rsidR="00FD715F" w:rsidRPr="00BD3BE5">
        <w:rPr>
          <w:rFonts w:cs="TimesNewRoman"/>
        </w:rPr>
        <w:t xml:space="preserve"> this type of fraud is </w:t>
      </w:r>
      <w:r w:rsidR="002C4BDB" w:rsidRPr="00BD3BE5">
        <w:rPr>
          <w:rFonts w:cs="TimesNewRoman"/>
        </w:rPr>
        <w:t xml:space="preserve"> costing the average household $950per year</w:t>
      </w:r>
      <w:r w:rsidR="00FD715F" w:rsidRPr="00BD3BE5">
        <w:rPr>
          <w:rFonts w:cs="TimesNewRoman"/>
        </w:rPr>
        <w:t>,</w:t>
      </w:r>
      <w:r w:rsidR="00144F8E">
        <w:rPr>
          <w:rFonts w:cs="TimesNewRoman"/>
        </w:rPr>
        <w:t xml:space="preserve"> </w:t>
      </w:r>
      <w:r w:rsidR="00EA0F62" w:rsidRPr="00BD3BE5">
        <w:rPr>
          <w:rFonts w:cs="TimesNewRoman"/>
        </w:rPr>
        <w:t xml:space="preserve">which </w:t>
      </w:r>
      <w:r w:rsidR="000C4B81" w:rsidRPr="00BD3BE5">
        <w:rPr>
          <w:rFonts w:cs="TimesNewRoman"/>
        </w:rPr>
        <w:t xml:space="preserve">means that </w:t>
      </w:r>
      <w:r w:rsidR="00EA0F62" w:rsidRPr="00BD3BE5">
        <w:rPr>
          <w:rFonts w:cs="TimesNewRoman"/>
        </w:rPr>
        <w:t xml:space="preserve"> around</w:t>
      </w:r>
      <w:r w:rsidR="002C4BDB" w:rsidRPr="00BD3BE5">
        <w:rPr>
          <w:rFonts w:cs="TimesNewRoman"/>
        </w:rPr>
        <w:t xml:space="preserve"> 10% to20% of all </w:t>
      </w:r>
      <w:r w:rsidR="00FD715F" w:rsidRPr="00BD3BE5">
        <w:rPr>
          <w:rFonts w:cs="TimesNewRoman"/>
        </w:rPr>
        <w:t>motor</w:t>
      </w:r>
      <w:r w:rsidR="002C4BDB" w:rsidRPr="00BD3BE5">
        <w:rPr>
          <w:rFonts w:cs="TimesNewRoman"/>
        </w:rPr>
        <w:t xml:space="preserve"> insurance claims filed are fraudulent. Additionally, fraudulent medical billing practices </w:t>
      </w:r>
      <w:r w:rsidR="00EA0F62" w:rsidRPr="00BD3BE5">
        <w:rPr>
          <w:rFonts w:cs="TimesNewRoman"/>
        </w:rPr>
        <w:t>might</w:t>
      </w:r>
      <w:r w:rsidR="002C4BDB" w:rsidRPr="00BD3BE5">
        <w:rPr>
          <w:rFonts w:cs="TimesNewRoman"/>
        </w:rPr>
        <w:t xml:space="preserve"> result in </w:t>
      </w:r>
      <w:r w:rsidR="00EA0F62" w:rsidRPr="00BD3BE5">
        <w:rPr>
          <w:rFonts w:cs="TimesNewRoman"/>
        </w:rPr>
        <w:t>abusing patients</w:t>
      </w:r>
      <w:r w:rsidR="002C4BDB" w:rsidRPr="00BD3BE5">
        <w:rPr>
          <w:rFonts w:cs="TimesNewRoman"/>
        </w:rPr>
        <w:t xml:space="preserve"> (</w:t>
      </w:r>
      <w:proofErr w:type="spellStart"/>
      <w:r w:rsidR="002C4BDB" w:rsidRPr="00BD3BE5">
        <w:rPr>
          <w:rFonts w:cs="TimesNewRoman"/>
        </w:rPr>
        <w:t>Parver</w:t>
      </w:r>
      <w:proofErr w:type="spellEnd"/>
      <w:r w:rsidR="002C4BDB" w:rsidRPr="00BD3BE5">
        <w:rPr>
          <w:rFonts w:cs="TimesNewRoman"/>
        </w:rPr>
        <w:t xml:space="preserve"> and Goren, 2011). </w:t>
      </w:r>
      <w:r w:rsidR="00EA0F62" w:rsidRPr="00BD3BE5">
        <w:rPr>
          <w:rFonts w:cs="TimesNewRoman"/>
        </w:rPr>
        <w:t xml:space="preserve">Many </w:t>
      </w:r>
      <w:r w:rsidR="002C4BDB" w:rsidRPr="00BD3BE5">
        <w:rPr>
          <w:rFonts w:cs="TimesNewRoman"/>
        </w:rPr>
        <w:t>Research</w:t>
      </w:r>
      <w:r w:rsidR="000C4B81" w:rsidRPr="00BD3BE5">
        <w:rPr>
          <w:rFonts w:cs="TimesNewRoman"/>
        </w:rPr>
        <w:t>e</w:t>
      </w:r>
      <w:r w:rsidR="00EA0F62" w:rsidRPr="00BD3BE5">
        <w:rPr>
          <w:rFonts w:cs="TimesNewRoman"/>
        </w:rPr>
        <w:t>s</w:t>
      </w:r>
      <w:r w:rsidR="002C4BDB" w:rsidRPr="00BD3BE5">
        <w:rPr>
          <w:rFonts w:cs="TimesNewRoman"/>
        </w:rPr>
        <w:t xml:space="preserve"> h</w:t>
      </w:r>
      <w:r w:rsidR="00EA0F62" w:rsidRPr="00BD3BE5">
        <w:rPr>
          <w:rFonts w:cs="TimesNewRoman"/>
        </w:rPr>
        <w:t>ave shown</w:t>
      </w:r>
      <w:r w:rsidR="002C4BDB" w:rsidRPr="00BD3BE5">
        <w:rPr>
          <w:rFonts w:cs="TimesNewRoman"/>
        </w:rPr>
        <w:t xml:space="preserve"> how medical facilities inflate billing in</w:t>
      </w:r>
      <w:r w:rsidR="00144F8E">
        <w:rPr>
          <w:rFonts w:cs="TimesNewRoman"/>
        </w:rPr>
        <w:t xml:space="preserve"> </w:t>
      </w:r>
      <w:r w:rsidR="002C4BDB" w:rsidRPr="00BD3BE5">
        <w:rPr>
          <w:rFonts w:cs="TimesNewRoman"/>
        </w:rPr>
        <w:t xml:space="preserve">order to increase </w:t>
      </w:r>
      <w:r w:rsidR="00EA0F62" w:rsidRPr="00BD3BE5">
        <w:rPr>
          <w:rFonts w:cs="TimesNewRoman"/>
        </w:rPr>
        <w:t>bills</w:t>
      </w:r>
      <w:r w:rsidR="002C4BDB" w:rsidRPr="00BD3BE5">
        <w:rPr>
          <w:rFonts w:cs="TimesNewRoman"/>
        </w:rPr>
        <w:t xml:space="preserve"> reimbursement from the insurance </w:t>
      </w:r>
      <w:r w:rsidR="006B6D8F" w:rsidRPr="00BD3BE5">
        <w:rPr>
          <w:rFonts w:cs="TimesNewRoman"/>
        </w:rPr>
        <w:t>companies,</w:t>
      </w:r>
      <w:r w:rsidR="00EA0F62" w:rsidRPr="00BD3BE5">
        <w:rPr>
          <w:rFonts w:cs="TimesNewRoman"/>
        </w:rPr>
        <w:t xml:space="preserve"> and sometimes unnecessary</w:t>
      </w:r>
      <w:r w:rsidR="002C4BDB" w:rsidRPr="00BD3BE5">
        <w:rPr>
          <w:rFonts w:cs="TimesNewRoman"/>
        </w:rPr>
        <w:t xml:space="preserve"> procedure</w:t>
      </w:r>
      <w:r w:rsidR="00EA0F62" w:rsidRPr="00BD3BE5">
        <w:rPr>
          <w:rFonts w:cs="TimesNewRoman"/>
        </w:rPr>
        <w:t>s that</w:t>
      </w:r>
      <w:r w:rsidR="002C4BDB" w:rsidRPr="00BD3BE5">
        <w:rPr>
          <w:rFonts w:cs="TimesNewRoman"/>
        </w:rPr>
        <w:t xml:space="preserve"> result</w:t>
      </w:r>
      <w:r w:rsidR="00144F8E">
        <w:rPr>
          <w:rFonts w:cs="TimesNewRoman"/>
        </w:rPr>
        <w:t xml:space="preserve"> </w:t>
      </w:r>
      <w:r w:rsidR="002C4BDB" w:rsidRPr="00BD3BE5">
        <w:rPr>
          <w:rFonts w:cs="TimesNewRoman"/>
        </w:rPr>
        <w:t xml:space="preserve">in patients being subject to </w:t>
      </w:r>
      <w:r w:rsidR="00EA0F62" w:rsidRPr="00BD3BE5">
        <w:rPr>
          <w:rFonts w:cs="TimesNewRoman"/>
        </w:rPr>
        <w:t>unnecessary</w:t>
      </w:r>
      <w:r w:rsidR="002C4BDB" w:rsidRPr="00BD3BE5">
        <w:rPr>
          <w:rFonts w:cs="TimesNewRoman"/>
        </w:rPr>
        <w:t xml:space="preserve"> painful</w:t>
      </w:r>
      <w:r w:rsidR="00144F8E">
        <w:rPr>
          <w:rFonts w:cs="TimesNewRoman"/>
        </w:rPr>
        <w:t xml:space="preserve"> </w:t>
      </w:r>
      <w:r w:rsidR="000C4B81" w:rsidRPr="00BD3BE5">
        <w:rPr>
          <w:rFonts w:cs="TimesNewRoman"/>
        </w:rPr>
        <w:t xml:space="preserve">situations </w:t>
      </w:r>
      <w:r w:rsidR="002C4BDB" w:rsidRPr="00BD3BE5">
        <w:rPr>
          <w:rFonts w:cs="TimesNewRoman"/>
        </w:rPr>
        <w:t>such as invasive testing, unnecessary surgeries and extreme physical</w:t>
      </w:r>
      <w:r w:rsidR="00144F8E">
        <w:rPr>
          <w:rFonts w:cs="TimesNewRoman"/>
        </w:rPr>
        <w:t xml:space="preserve"> </w:t>
      </w:r>
      <w:r w:rsidR="002C4BDB" w:rsidRPr="00BD3BE5">
        <w:rPr>
          <w:rFonts w:cs="TimesNewRoman"/>
        </w:rPr>
        <w:t xml:space="preserve">manipulations. This </w:t>
      </w:r>
      <w:r w:rsidR="00EA0F62" w:rsidRPr="00BD3BE5">
        <w:rPr>
          <w:rFonts w:cs="TimesNewRoman"/>
        </w:rPr>
        <w:t>might</w:t>
      </w:r>
      <w:r w:rsidR="002C4BDB" w:rsidRPr="00BD3BE5">
        <w:rPr>
          <w:rFonts w:cs="TimesNewRoman"/>
        </w:rPr>
        <w:t xml:space="preserve"> result in severe injury, including paraplegia and death(</w:t>
      </w:r>
      <w:proofErr w:type="spellStart"/>
      <w:r w:rsidR="002C4BDB" w:rsidRPr="00BD3BE5">
        <w:rPr>
          <w:rFonts w:cs="TimesNewRoman"/>
        </w:rPr>
        <w:t>Qureshi</w:t>
      </w:r>
      <w:proofErr w:type="spellEnd"/>
      <w:r w:rsidR="002C4BDB" w:rsidRPr="00BD3BE5">
        <w:rPr>
          <w:rFonts w:cs="TimesNewRoman"/>
        </w:rPr>
        <w:t xml:space="preserve">, Sartor, </w:t>
      </w:r>
      <w:proofErr w:type="spellStart"/>
      <w:r w:rsidR="002C4BDB" w:rsidRPr="00BD3BE5">
        <w:rPr>
          <w:rFonts w:cs="TimesNewRoman"/>
        </w:rPr>
        <w:t>Xirasagar</w:t>
      </w:r>
      <w:proofErr w:type="spellEnd"/>
      <w:r w:rsidR="002C4BDB" w:rsidRPr="00BD3BE5">
        <w:rPr>
          <w:rFonts w:cs="TimesNewRoman"/>
        </w:rPr>
        <w:t xml:space="preserve">, Ying and Bennett, 2011; </w:t>
      </w:r>
      <w:proofErr w:type="spellStart"/>
      <w:r w:rsidR="002C4BDB" w:rsidRPr="00BD3BE5">
        <w:rPr>
          <w:rFonts w:cs="TimesNewRoman"/>
        </w:rPr>
        <w:t>Parver</w:t>
      </w:r>
      <w:proofErr w:type="spellEnd"/>
      <w:r w:rsidR="002C4BDB" w:rsidRPr="00BD3BE5">
        <w:rPr>
          <w:rFonts w:cs="TimesNewRoman"/>
        </w:rPr>
        <w:t xml:space="preserve"> and Goren, 2011;Taylor, 2003).</w:t>
      </w:r>
      <w:r w:rsidR="003B2F49" w:rsidRPr="00BD3BE5">
        <w:rPr>
          <w:rFonts w:cs="TimesNewRoman"/>
        </w:rPr>
        <w:t xml:space="preserve">Also the Association of British Insurer (ABI) has also estimated that the insurance industry loses exceeds a GBP3 billion due to fraud each year </w:t>
      </w:r>
      <w:r w:rsidR="00CF672B" w:rsidRPr="00BD3BE5">
        <w:rPr>
          <w:rFonts w:cs="TimesNewRoman"/>
        </w:rPr>
        <w:t>.</w:t>
      </w:r>
      <w:r w:rsidR="00B27D83" w:rsidRPr="00BD3BE5">
        <w:rPr>
          <w:rFonts w:cs="TimesNewRoman"/>
        </w:rPr>
        <w:t xml:space="preserve">The ABI </w:t>
      </w:r>
      <w:r w:rsidR="003B2F49" w:rsidRPr="00BD3BE5">
        <w:rPr>
          <w:rFonts w:cs="TimesNewRoman"/>
        </w:rPr>
        <w:t>categorizes</w:t>
      </w:r>
      <w:r w:rsidR="00B27D83" w:rsidRPr="00BD3BE5">
        <w:rPr>
          <w:rFonts w:cs="TimesNewRoman"/>
        </w:rPr>
        <w:t xml:space="preserve"> two major types of fraud, that is: hard fraud, which called premeditative and soft fraud, which called opportunistic (ABI, 2006).</w:t>
      </w:r>
    </w:p>
    <w:p w:rsidR="0057302A" w:rsidRPr="00BD3BE5" w:rsidRDefault="00B27D83" w:rsidP="00445C26">
      <w:pPr>
        <w:bidi w:val="0"/>
        <w:spacing w:line="240" w:lineRule="auto"/>
        <w:jc w:val="both"/>
        <w:rPr>
          <w:rFonts w:cs="TimesNewRoman"/>
        </w:rPr>
      </w:pPr>
      <w:r w:rsidRPr="00BD3BE5">
        <w:rPr>
          <w:rFonts w:cs="TimesNewRoman"/>
        </w:rPr>
        <w:t>In Hard fraud  the fraudsters plan their offence in advance, by taking out an insurance policy to obtain money or another advantage that they are not entitled to (CAIF, 2007). Hard fraud occurs when someone deliberately plans or invents a loss, such as a collision, auto theft, or fire that is covered by their insurance policy in order to receive payment for all damage claims (</w:t>
      </w:r>
      <w:proofErr w:type="spellStart"/>
      <w:r w:rsidRPr="00BD3BE5">
        <w:rPr>
          <w:rFonts w:cs="TimesNewRoman"/>
        </w:rPr>
        <w:t>Krawczyk</w:t>
      </w:r>
      <w:proofErr w:type="spellEnd"/>
      <w:r w:rsidRPr="00BD3BE5">
        <w:rPr>
          <w:rFonts w:cs="TimesNewRoman"/>
        </w:rPr>
        <w:t xml:space="preserve">, 2009). while </w:t>
      </w:r>
      <w:r w:rsidR="0057302A" w:rsidRPr="00BD3BE5">
        <w:rPr>
          <w:rFonts w:cs="TimesNewRoman"/>
        </w:rPr>
        <w:t xml:space="preserve">in </w:t>
      </w:r>
      <w:r w:rsidRPr="00BD3BE5">
        <w:rPr>
          <w:rFonts w:cs="TimesNewRoman"/>
        </w:rPr>
        <w:t>soft</w:t>
      </w:r>
      <w:r w:rsidR="0057302A" w:rsidRPr="00BD3BE5">
        <w:rPr>
          <w:rFonts w:cs="TimesNewRoman"/>
        </w:rPr>
        <w:t xml:space="preserve"> fraud the</w:t>
      </w:r>
      <w:r w:rsidRPr="00BD3BE5">
        <w:rPr>
          <w:rFonts w:cs="TimesNewRoman"/>
        </w:rPr>
        <w:t xml:space="preserve"> fraudsters inflate or exaggerate a genuine claim against their insurance policy to obtain more money than they are entitled to (</w:t>
      </w:r>
      <w:r w:rsidR="0057302A" w:rsidRPr="00BD3BE5">
        <w:rPr>
          <w:rFonts w:cs="TimesNewRoman"/>
        </w:rPr>
        <w:t>CAIF</w:t>
      </w:r>
      <w:r w:rsidRPr="00BD3BE5">
        <w:rPr>
          <w:rFonts w:cs="TimesNewRoman"/>
        </w:rPr>
        <w:t xml:space="preserve">, 2007). For example, when making a claim an opportunistic fraudster may exaggerate the value of the stolen items (ABI, 2005). </w:t>
      </w:r>
      <w:r w:rsidR="00445C26" w:rsidRPr="00BD3BE5">
        <w:rPr>
          <w:rFonts w:cs="TimesNewRoman"/>
        </w:rPr>
        <w:t>(</w:t>
      </w:r>
      <w:r w:rsidRPr="00BD3BE5">
        <w:rPr>
          <w:rFonts w:cs="TimesNewRoman"/>
        </w:rPr>
        <w:t>Palasinki</w:t>
      </w:r>
      <w:r w:rsidR="00445C26" w:rsidRPr="00BD3BE5">
        <w:rPr>
          <w:rFonts w:cs="TimesNewRoman"/>
        </w:rPr>
        <w:t>,</w:t>
      </w:r>
      <w:r w:rsidRPr="00BD3BE5">
        <w:rPr>
          <w:rFonts w:cs="TimesNewRoman"/>
        </w:rPr>
        <w:t xml:space="preserve">2009) found in his research regarding insurance claimants that most of drivers interviewed; on the average of all male drivers know about how to commit insurance fraud and to make it successful. </w:t>
      </w:r>
      <w:r w:rsidR="0057302A" w:rsidRPr="00BD3BE5">
        <w:rPr>
          <w:rFonts w:cs="TimesNewRoman"/>
        </w:rPr>
        <w:t>They</w:t>
      </w:r>
      <w:r w:rsidRPr="00BD3BE5">
        <w:rPr>
          <w:rFonts w:cs="TimesNewRoman"/>
        </w:rPr>
        <w:t xml:space="preserve"> have determined as very creative in the representation of fraudulent </w:t>
      </w:r>
      <w:r w:rsidR="0057302A" w:rsidRPr="00BD3BE5">
        <w:rPr>
          <w:rFonts w:cs="TimesNewRoman"/>
        </w:rPr>
        <w:t>behavior</w:t>
      </w:r>
      <w:r w:rsidRPr="00BD3BE5">
        <w:rPr>
          <w:rFonts w:cs="TimesNewRoman"/>
        </w:rPr>
        <w:t xml:space="preserve"> and </w:t>
      </w:r>
      <w:r w:rsidR="0057302A" w:rsidRPr="00BD3BE5">
        <w:rPr>
          <w:rFonts w:cs="TimesNewRoman"/>
        </w:rPr>
        <w:t>that they do not much care about the how that behavior is unethical.</w:t>
      </w:r>
    </w:p>
    <w:p w:rsidR="002619D9" w:rsidRPr="00BD3BE5" w:rsidRDefault="002619D9" w:rsidP="008F1EEE">
      <w:pPr>
        <w:autoSpaceDE w:val="0"/>
        <w:autoSpaceDN w:val="0"/>
        <w:bidi w:val="0"/>
        <w:adjustRightInd w:val="0"/>
        <w:spacing w:after="0" w:line="240" w:lineRule="auto"/>
        <w:jc w:val="both"/>
        <w:rPr>
          <w:rFonts w:cs="Times New Roman"/>
        </w:rPr>
      </w:pPr>
      <w:r w:rsidRPr="00BD3BE5">
        <w:rPr>
          <w:rFonts w:cs="Times New Roman"/>
        </w:rPr>
        <w:t>Insurance</w:t>
      </w:r>
      <w:r w:rsidR="0058448D" w:rsidRPr="00BD3BE5">
        <w:rPr>
          <w:rFonts w:cs="Times New Roman"/>
        </w:rPr>
        <w:t xml:space="preserve"> fraud that can be</w:t>
      </w:r>
      <w:r w:rsidR="00D567DC">
        <w:rPr>
          <w:rFonts w:cs="Times New Roman"/>
        </w:rPr>
        <w:t xml:space="preserve"> </w:t>
      </w:r>
      <w:r w:rsidR="006B6D8F" w:rsidRPr="00BD3BE5">
        <w:rPr>
          <w:rFonts w:cs="Times New Roman"/>
        </w:rPr>
        <w:t>classified</w:t>
      </w:r>
      <w:r w:rsidR="00D567DC">
        <w:rPr>
          <w:rFonts w:cs="Times New Roman"/>
        </w:rPr>
        <w:t xml:space="preserve"> </w:t>
      </w:r>
      <w:r w:rsidR="0058448D" w:rsidRPr="00BD3BE5">
        <w:rPr>
          <w:rFonts w:cs="Times New Roman"/>
        </w:rPr>
        <w:t>into four main categories</w:t>
      </w:r>
      <w:r w:rsidRPr="00BD3BE5">
        <w:rPr>
          <w:rFonts w:cs="Times New Roman"/>
        </w:rPr>
        <w:t xml:space="preserve"> that are (Yusuf &amp;</w:t>
      </w:r>
      <w:proofErr w:type="spellStart"/>
      <w:r w:rsidRPr="00BD3BE5">
        <w:rPr>
          <w:rFonts w:cs="Times New Roman"/>
        </w:rPr>
        <w:t>Babalola</w:t>
      </w:r>
      <w:proofErr w:type="spellEnd"/>
      <w:r w:rsidRPr="00BD3BE5">
        <w:rPr>
          <w:rFonts w:cs="Times New Roman"/>
        </w:rPr>
        <w:t xml:space="preserve"> 2009) :</w:t>
      </w:r>
    </w:p>
    <w:p w:rsidR="002619D9" w:rsidRPr="00BD3BE5" w:rsidRDefault="0058448D" w:rsidP="008F1EEE">
      <w:pPr>
        <w:bidi w:val="0"/>
        <w:spacing w:line="240" w:lineRule="auto"/>
        <w:jc w:val="both"/>
        <w:rPr>
          <w:rFonts w:cs="TimesNewRoman"/>
          <w:b/>
          <w:bCs/>
        </w:rPr>
      </w:pPr>
      <w:r w:rsidRPr="00BD3BE5">
        <w:rPr>
          <w:rFonts w:cs="TimesNewRoman"/>
          <w:b/>
          <w:bCs/>
        </w:rPr>
        <w:t xml:space="preserve">Internal Fraud: </w:t>
      </w:r>
    </w:p>
    <w:p w:rsidR="0058448D" w:rsidRPr="00BD3BE5" w:rsidRDefault="0058448D" w:rsidP="008F1EEE">
      <w:pPr>
        <w:bidi w:val="0"/>
        <w:spacing w:line="240" w:lineRule="auto"/>
        <w:jc w:val="both"/>
        <w:rPr>
          <w:rFonts w:cs="TimesNewRoman"/>
        </w:rPr>
      </w:pPr>
      <w:r w:rsidRPr="00BD3BE5">
        <w:rPr>
          <w:rFonts w:cs="TimesNewRoman"/>
        </w:rPr>
        <w:t xml:space="preserve">Fraud action taken by an inside party in companies against the organization such as employees, management or board of director or involved in collusion with an outsider. </w:t>
      </w:r>
    </w:p>
    <w:p w:rsidR="002619D9" w:rsidRPr="00BD3BE5" w:rsidRDefault="0058448D" w:rsidP="008F1EEE">
      <w:pPr>
        <w:bidi w:val="0"/>
        <w:spacing w:line="240" w:lineRule="auto"/>
        <w:jc w:val="both"/>
        <w:rPr>
          <w:rFonts w:cs="TimesNewRoman"/>
          <w:b/>
          <w:bCs/>
        </w:rPr>
      </w:pPr>
      <w:r w:rsidRPr="00BD3BE5">
        <w:rPr>
          <w:rFonts w:cs="TimesNewRoman"/>
          <w:b/>
          <w:bCs/>
        </w:rPr>
        <w:t>Policyholder or claimant fraud:</w:t>
      </w:r>
    </w:p>
    <w:p w:rsidR="0058448D" w:rsidRDefault="0058448D" w:rsidP="008F1EEE">
      <w:pPr>
        <w:bidi w:val="0"/>
        <w:spacing w:line="240" w:lineRule="auto"/>
        <w:jc w:val="both"/>
        <w:rPr>
          <w:rFonts w:cs="TimesNewRoman"/>
        </w:rPr>
      </w:pPr>
      <w:r w:rsidRPr="00BD3BE5">
        <w:rPr>
          <w:rFonts w:cs="TimesNewRoman"/>
        </w:rPr>
        <w:t xml:space="preserve"> Fraud action against the insurer in purchasing a product and/or effecting some of the insurance products by obtaining unlawful coverage or payment </w:t>
      </w:r>
    </w:p>
    <w:p w:rsidR="006B4AEB" w:rsidRDefault="006B4AEB" w:rsidP="006B4AEB">
      <w:pPr>
        <w:bidi w:val="0"/>
        <w:spacing w:line="240" w:lineRule="auto"/>
        <w:jc w:val="both"/>
        <w:rPr>
          <w:rFonts w:cs="TimesNewRoman"/>
        </w:rPr>
      </w:pPr>
    </w:p>
    <w:p w:rsidR="006B4AEB" w:rsidRPr="00BD3BE5" w:rsidRDefault="006B4AEB" w:rsidP="006B4AEB">
      <w:pPr>
        <w:bidi w:val="0"/>
        <w:spacing w:line="240" w:lineRule="auto"/>
        <w:jc w:val="both"/>
        <w:rPr>
          <w:rFonts w:cs="TimesNewRoman"/>
        </w:rPr>
      </w:pPr>
    </w:p>
    <w:p w:rsidR="002619D9" w:rsidRPr="00BD3BE5" w:rsidRDefault="0058448D" w:rsidP="008F1EEE">
      <w:pPr>
        <w:bidi w:val="0"/>
        <w:spacing w:line="240" w:lineRule="auto"/>
        <w:jc w:val="both"/>
        <w:rPr>
          <w:rFonts w:cs="TimesNewRoman"/>
          <w:b/>
          <w:bCs/>
        </w:rPr>
      </w:pPr>
      <w:r w:rsidRPr="00BD3BE5">
        <w:rPr>
          <w:rFonts w:cs="TimesNewRoman"/>
          <w:b/>
          <w:bCs/>
        </w:rPr>
        <w:lastRenderedPageBreak/>
        <w:t xml:space="preserve">Intermediary fraud: </w:t>
      </w:r>
    </w:p>
    <w:p w:rsidR="0058448D" w:rsidRPr="00BD3BE5" w:rsidRDefault="0058448D" w:rsidP="008F1EEE">
      <w:pPr>
        <w:bidi w:val="0"/>
        <w:spacing w:line="240" w:lineRule="auto"/>
        <w:jc w:val="both"/>
        <w:rPr>
          <w:rFonts w:cs="TimesNewRoman"/>
        </w:rPr>
      </w:pPr>
      <w:r w:rsidRPr="00BD3BE5">
        <w:rPr>
          <w:rFonts w:cs="TimesNewRoman"/>
        </w:rPr>
        <w:t xml:space="preserve">Fraud action by intermediaries against the insurer and the policyholders. This may be the agents or brokers of the insurer. </w:t>
      </w:r>
    </w:p>
    <w:p w:rsidR="002619D9" w:rsidRPr="00BD3BE5" w:rsidRDefault="0058448D" w:rsidP="008F1EEE">
      <w:pPr>
        <w:bidi w:val="0"/>
        <w:spacing w:line="240" w:lineRule="auto"/>
        <w:jc w:val="both"/>
        <w:rPr>
          <w:rFonts w:cs="TimesNewRoman"/>
          <w:b/>
          <w:bCs/>
        </w:rPr>
      </w:pPr>
      <w:r w:rsidRPr="00BD3BE5">
        <w:rPr>
          <w:rFonts w:cs="TimesNewRoman"/>
          <w:b/>
          <w:bCs/>
        </w:rPr>
        <w:t xml:space="preserve">Insurer fraud: </w:t>
      </w:r>
    </w:p>
    <w:p w:rsidR="004811CD" w:rsidRPr="00BD3BE5" w:rsidRDefault="0058448D" w:rsidP="008F1EEE">
      <w:pPr>
        <w:bidi w:val="0"/>
        <w:spacing w:line="240" w:lineRule="auto"/>
        <w:jc w:val="both"/>
        <w:rPr>
          <w:rFonts w:cs="TimesNewRoman"/>
        </w:rPr>
      </w:pPr>
      <w:r w:rsidRPr="00BD3BE5">
        <w:rPr>
          <w:rFonts w:cs="TimesNewRoman"/>
        </w:rPr>
        <w:t xml:space="preserve">Fraud action taken on behalf of the organization against the insured through policy tossing or </w:t>
      </w:r>
      <w:proofErr w:type="spellStart"/>
      <w:r w:rsidRPr="00BD3BE5">
        <w:rPr>
          <w:rFonts w:cs="TimesNewRoman"/>
        </w:rPr>
        <w:t>mis</w:t>
      </w:r>
      <w:proofErr w:type="spellEnd"/>
      <w:r w:rsidRPr="00BD3BE5">
        <w:rPr>
          <w:rFonts w:cs="TimesNewRoman"/>
        </w:rPr>
        <w:t>-selling.</w:t>
      </w:r>
    </w:p>
    <w:p w:rsidR="004811CD" w:rsidRPr="00BD3BE5" w:rsidRDefault="004811CD" w:rsidP="00F463B1">
      <w:pPr>
        <w:autoSpaceDE w:val="0"/>
        <w:autoSpaceDN w:val="0"/>
        <w:bidi w:val="0"/>
        <w:adjustRightInd w:val="0"/>
        <w:spacing w:after="0" w:line="240" w:lineRule="auto"/>
        <w:rPr>
          <w:rFonts w:cs="Arial"/>
        </w:rPr>
      </w:pPr>
      <w:r w:rsidRPr="00BD3BE5">
        <w:rPr>
          <w:rFonts w:cs="Arial"/>
        </w:rPr>
        <w:t>According to</w:t>
      </w:r>
      <w:r w:rsidR="00F463B1" w:rsidRPr="00BD3BE5">
        <w:rPr>
          <w:rFonts w:cs="Arial"/>
        </w:rPr>
        <w:t xml:space="preserve"> international association of insurance supervisors there</w:t>
      </w:r>
      <w:r w:rsidRPr="00BD3BE5">
        <w:rPr>
          <w:rFonts w:cs="Arial"/>
        </w:rPr>
        <w:t xml:space="preserve"> are other types of fraud that affect insurers(IAIS,2006):</w:t>
      </w:r>
    </w:p>
    <w:p w:rsidR="004811CD" w:rsidRPr="00BD3BE5" w:rsidRDefault="004811CD" w:rsidP="008F1EEE">
      <w:pPr>
        <w:pStyle w:val="a3"/>
        <w:numPr>
          <w:ilvl w:val="0"/>
          <w:numId w:val="13"/>
        </w:numPr>
        <w:bidi w:val="0"/>
        <w:spacing w:line="240" w:lineRule="auto"/>
        <w:jc w:val="both"/>
        <w:rPr>
          <w:rFonts w:cs="TimesNewRoman"/>
        </w:rPr>
      </w:pPr>
      <w:r w:rsidRPr="00BD3BE5">
        <w:rPr>
          <w:rFonts w:cs="TimesNewRoman"/>
        </w:rPr>
        <w:t>fraud committed by contractors or suppliers that do not play a role in the settlement of insurance claims</w:t>
      </w:r>
    </w:p>
    <w:p w:rsidR="0058448D" w:rsidRPr="00BD3BE5" w:rsidRDefault="004811CD" w:rsidP="008F1EEE">
      <w:pPr>
        <w:pStyle w:val="a3"/>
        <w:numPr>
          <w:ilvl w:val="0"/>
          <w:numId w:val="13"/>
        </w:numPr>
        <w:bidi w:val="0"/>
        <w:spacing w:line="240" w:lineRule="auto"/>
        <w:jc w:val="both"/>
        <w:rPr>
          <w:rFonts w:cs="TimesNewRoman"/>
        </w:rPr>
      </w:pPr>
      <w:r w:rsidRPr="00BD3BE5">
        <w:rPr>
          <w:rFonts w:cs="TimesNewRoman"/>
        </w:rPr>
        <w:t>fraud by misrepresentation of insurance cover to attract investors, obtain favorable loans or authorizations or other types of favorable decisions from public authorities.</w:t>
      </w:r>
    </w:p>
    <w:p w:rsidR="00B26F6F" w:rsidRPr="00BD3BE5" w:rsidRDefault="00B26F6F" w:rsidP="008F1EEE">
      <w:pPr>
        <w:tabs>
          <w:tab w:val="left" w:pos="2415"/>
        </w:tabs>
        <w:bidi w:val="0"/>
        <w:spacing w:after="200" w:line="240" w:lineRule="auto"/>
        <w:rPr>
          <w:rFonts w:cstheme="majorBidi"/>
        </w:rPr>
      </w:pPr>
    </w:p>
    <w:p w:rsidR="00B77B53" w:rsidRPr="00BD3BE5" w:rsidRDefault="00B77B53" w:rsidP="008F1EEE">
      <w:pPr>
        <w:bidi w:val="0"/>
        <w:spacing w:line="240" w:lineRule="auto"/>
        <w:rPr>
          <w:rFonts w:cs="Times-Bold"/>
          <w:b/>
          <w:bCs/>
        </w:rPr>
      </w:pPr>
      <w:r w:rsidRPr="00BD3BE5">
        <w:rPr>
          <w:rFonts w:cs="Times-Bold"/>
          <w:b/>
          <w:bCs/>
        </w:rPr>
        <w:t>Review of Related Literature</w:t>
      </w:r>
    </w:p>
    <w:p w:rsidR="00B77B53" w:rsidRPr="00BD3BE5" w:rsidRDefault="001D3817" w:rsidP="008F1EEE">
      <w:pPr>
        <w:autoSpaceDE w:val="0"/>
        <w:autoSpaceDN w:val="0"/>
        <w:bidi w:val="0"/>
        <w:adjustRightInd w:val="0"/>
        <w:spacing w:after="0" w:line="240" w:lineRule="auto"/>
        <w:jc w:val="both"/>
        <w:rPr>
          <w:rFonts w:cs="Andalus"/>
        </w:rPr>
      </w:pPr>
      <w:r w:rsidRPr="00BD3BE5">
        <w:rPr>
          <w:rFonts w:cs="CMR10"/>
        </w:rPr>
        <w:t>Previous literature has analyzed potential indicators that predict the likelihood of insurance fraud</w:t>
      </w:r>
      <w:r w:rsidR="00A21318" w:rsidRPr="00BD3BE5">
        <w:rPr>
          <w:rFonts w:cs="CMR10"/>
        </w:rPr>
        <w:t>.</w:t>
      </w:r>
      <w:r w:rsidRPr="00BD3BE5">
        <w:rPr>
          <w:rFonts w:cs="CMR10"/>
        </w:rPr>
        <w:t>, Tennyson and Salsas-</w:t>
      </w:r>
      <w:proofErr w:type="spellStart"/>
      <w:r w:rsidRPr="00BD3BE5">
        <w:rPr>
          <w:rFonts w:cs="CMR10"/>
        </w:rPr>
        <w:t>Forn</w:t>
      </w:r>
      <w:proofErr w:type="spellEnd"/>
      <w:r w:rsidRPr="00BD3BE5">
        <w:rPr>
          <w:rFonts w:cs="CMR10"/>
        </w:rPr>
        <w:t xml:space="preserve"> (2002) analyze the phenomenon of insurance fraud related to automobile personal injuries requiring medical treatment and they find that auditing processes contain both </w:t>
      </w:r>
      <w:r w:rsidR="00D500F4" w:rsidRPr="00BD3BE5">
        <w:rPr>
          <w:rFonts w:cs="CMR10"/>
        </w:rPr>
        <w:t>a detection</w:t>
      </w:r>
      <w:r w:rsidRPr="00BD3BE5">
        <w:rPr>
          <w:rFonts w:cs="CMR10"/>
        </w:rPr>
        <w:t xml:space="preserve"> and a deterrence component. While </w:t>
      </w:r>
      <w:proofErr w:type="spellStart"/>
      <w:r w:rsidRPr="00BD3BE5">
        <w:rPr>
          <w:rFonts w:cs="CMR10"/>
        </w:rPr>
        <w:t>Derrig</w:t>
      </w:r>
      <w:proofErr w:type="spellEnd"/>
      <w:r w:rsidRPr="00BD3BE5">
        <w:rPr>
          <w:rFonts w:cs="CMR10"/>
        </w:rPr>
        <w:t xml:space="preserve">, Johnston, and </w:t>
      </w:r>
      <w:proofErr w:type="spellStart"/>
      <w:r w:rsidRPr="00BD3BE5">
        <w:rPr>
          <w:rFonts w:cs="CMR10"/>
        </w:rPr>
        <w:t>Sprinkel</w:t>
      </w:r>
      <w:proofErr w:type="spellEnd"/>
      <w:r w:rsidRPr="00BD3BE5">
        <w:rPr>
          <w:rFonts w:cs="CMR10"/>
        </w:rPr>
        <w:t xml:space="preserve"> (2006) present some exemplary measures to handle fraud attempts, Furthermore, </w:t>
      </w:r>
      <w:proofErr w:type="spellStart"/>
      <w:r w:rsidRPr="00BD3BE5">
        <w:rPr>
          <w:rFonts w:cs="CMR10"/>
        </w:rPr>
        <w:t>Belhadji</w:t>
      </w:r>
      <w:proofErr w:type="spellEnd"/>
      <w:r w:rsidRPr="00BD3BE5">
        <w:rPr>
          <w:rFonts w:cs="CMR10"/>
        </w:rPr>
        <w:t xml:space="preserve">, Dionne, and </w:t>
      </w:r>
      <w:proofErr w:type="spellStart"/>
      <w:r w:rsidRPr="00BD3BE5">
        <w:rPr>
          <w:rFonts w:cs="CMR10"/>
        </w:rPr>
        <w:t>Tarkhani</w:t>
      </w:r>
      <w:proofErr w:type="spellEnd"/>
      <w:r w:rsidRPr="00BD3BE5">
        <w:rPr>
          <w:rFonts w:cs="CMR10"/>
        </w:rPr>
        <w:t xml:space="preserve"> (2000) identify fraud indicators to determine their actual impact on the fraud probability of a claim using a representative data  set from Canadian insurance companies. Dionne et al.(2009). Used the scoring approach to derive a red flag strategy indicating which of the suspicious claims should be referred to an external investigative units. The result is an optimal auditing strategy in the face of a cost-minimizing insurance company.</w:t>
      </w:r>
      <w:r w:rsidR="00A21318" w:rsidRPr="00BD3BE5">
        <w:rPr>
          <w:rFonts w:cs="CMR10"/>
        </w:rPr>
        <w:t xml:space="preserve"> Also </w:t>
      </w:r>
      <w:r w:rsidR="00B77B53" w:rsidRPr="00BD3BE5">
        <w:rPr>
          <w:rFonts w:cs="Andalus"/>
        </w:rPr>
        <w:t>Association of British Insurers conducted a survey on 2000 respondents, it shows that insurance fraud fits in with public attitudes toward dishonesty, while this does not mean that tolerance will lead to acting dishonestly, a significant number of people surveyed admitted that their dishonesty could be severely tested in the future. (ABI, 2003).</w:t>
      </w:r>
    </w:p>
    <w:p w:rsidR="00B77B53" w:rsidRPr="00BD3BE5" w:rsidRDefault="00B77B53" w:rsidP="008F1EEE">
      <w:pPr>
        <w:bidi w:val="0"/>
        <w:spacing w:line="240" w:lineRule="auto"/>
        <w:jc w:val="both"/>
        <w:rPr>
          <w:rFonts w:cs="Andalus"/>
        </w:rPr>
      </w:pPr>
      <w:r w:rsidRPr="00BD3BE5">
        <w:rPr>
          <w:rFonts w:cs="Andalus"/>
        </w:rPr>
        <w:t xml:space="preserve">Viaene and </w:t>
      </w:r>
      <w:proofErr w:type="spellStart"/>
      <w:r w:rsidRPr="00BD3BE5">
        <w:rPr>
          <w:rFonts w:cs="Andalus"/>
        </w:rPr>
        <w:t>Dedene</w:t>
      </w:r>
      <w:proofErr w:type="spellEnd"/>
      <w:r w:rsidRPr="00BD3BE5">
        <w:rPr>
          <w:rFonts w:cs="Andalus"/>
        </w:rPr>
        <w:t xml:space="preserve"> (2004)  confirmed that a policyholders might commit fraud or engage in fraudulent activities especially if they have a  negative experiences throughout the insurance relationship such as delaying indemnifications or compensations underpayment.</w:t>
      </w:r>
    </w:p>
    <w:p w:rsidR="00B77B53" w:rsidRPr="00BD3BE5" w:rsidRDefault="00B77B53" w:rsidP="008F1EEE">
      <w:pPr>
        <w:bidi w:val="0"/>
        <w:spacing w:line="240" w:lineRule="auto"/>
        <w:jc w:val="both"/>
        <w:rPr>
          <w:rFonts w:cs="Times-Bold"/>
        </w:rPr>
      </w:pPr>
      <w:proofErr w:type="spellStart"/>
      <w:r w:rsidRPr="00BD3BE5">
        <w:rPr>
          <w:rFonts w:cs="Andalus"/>
        </w:rPr>
        <w:t>Ojikutu</w:t>
      </w:r>
      <w:proofErr w:type="spellEnd"/>
      <w:r w:rsidRPr="00BD3BE5">
        <w:rPr>
          <w:rFonts w:cs="Andalus"/>
        </w:rPr>
        <w:t xml:space="preserve"> et.  al</w:t>
      </w:r>
      <w:r w:rsidR="008004B3" w:rsidRPr="00BD3BE5">
        <w:t>(</w:t>
      </w:r>
      <w:r w:rsidRPr="00BD3BE5">
        <w:rPr>
          <w:rFonts w:cs="Andalus"/>
        </w:rPr>
        <w:t xml:space="preserve"> 2011) has studies the general public tolerance towards dishonesty of insurance companies in the Lagos State. The study shows that 60.2 percent of the respondents do not trust insurance companies and only 25 percent of those questioned are satisfied with the way their previous claims were resolved. Regarding the integrity of policyholders, many of respondents do nothing if their friend decided to exaggerate claims or committing fraud, also the  perception of the respondents about the attitude of government to Insurance fraud also correlate with the educational attainment of the respondent.</w:t>
      </w:r>
    </w:p>
    <w:p w:rsidR="00B77B53" w:rsidRPr="00BD3BE5" w:rsidRDefault="00D03BA0" w:rsidP="008F1EEE">
      <w:pPr>
        <w:bidi w:val="0"/>
        <w:spacing w:line="240" w:lineRule="auto"/>
        <w:jc w:val="both"/>
        <w:rPr>
          <w:rFonts w:cs="Andalus"/>
        </w:rPr>
      </w:pPr>
      <w:r w:rsidRPr="00BD3BE5">
        <w:rPr>
          <w:rFonts w:cs="Andalus"/>
        </w:rPr>
        <w:t xml:space="preserve">Crocker </w:t>
      </w:r>
      <w:r w:rsidR="00B77B53" w:rsidRPr="00BD3BE5">
        <w:rPr>
          <w:rFonts w:cs="Andalus"/>
        </w:rPr>
        <w:t xml:space="preserve">(2002) finds that policyholder with recent experience are significantly less likely than others to justify fraud and consider it acceptable. The study also indicates that there is a strong association between claims experience and lower fraud tolerance, and that the relationship between claims experience and reduced tolerance for fraud is a direct one. This suggests that claimants who have </w:t>
      </w:r>
      <w:r w:rsidR="00B77B53" w:rsidRPr="00BD3BE5">
        <w:rPr>
          <w:rFonts w:cs="Andalus"/>
        </w:rPr>
        <w:lastRenderedPageBreak/>
        <w:t>positive attitudes toward the insurance industry are significantly less likely to find insurance fraud acceptable than those with neutral or negative views.</w:t>
      </w:r>
    </w:p>
    <w:p w:rsidR="00B77B53" w:rsidRPr="00BD3BE5" w:rsidRDefault="00B77B53" w:rsidP="008004B3">
      <w:pPr>
        <w:bidi w:val="0"/>
        <w:spacing w:line="240" w:lineRule="auto"/>
        <w:jc w:val="both"/>
        <w:rPr>
          <w:rFonts w:cs="Andalus"/>
        </w:rPr>
      </w:pPr>
      <w:r w:rsidRPr="00BD3BE5">
        <w:rPr>
          <w:rFonts w:cs="Andalus"/>
        </w:rPr>
        <w:t>Dean</w:t>
      </w:r>
      <w:r w:rsidR="008004B3" w:rsidRPr="00BD3BE5">
        <w:rPr>
          <w:rFonts w:cs="Andalus"/>
        </w:rPr>
        <w:t>(</w:t>
      </w:r>
      <w:r w:rsidRPr="00BD3BE5">
        <w:rPr>
          <w:rFonts w:cs="Andalus"/>
        </w:rPr>
        <w:t xml:space="preserve">2004) studied the insurance fraud from ethical perspective,  he proposed that ethical evaluation of insurance claim exaggeration behavior would be affected by characteristics of the policyholder, insurance agent, and insurance company. These three factors were manipulated in written scenarios and the premise was tested in a factorial experimental design. He found a no significant support was for an effect of any of the three factors on ethical perceptions of claim exaggeration. However, females found claims exaggeration to be significantly less ethical than males. </w:t>
      </w:r>
    </w:p>
    <w:p w:rsidR="00B77B53" w:rsidRPr="00BD3BE5" w:rsidRDefault="00B77B53" w:rsidP="008004B3">
      <w:pPr>
        <w:bidi w:val="0"/>
        <w:spacing w:line="240" w:lineRule="auto"/>
        <w:jc w:val="both"/>
        <w:rPr>
          <w:rFonts w:cs="Times-Bold"/>
        </w:rPr>
      </w:pPr>
      <w:r w:rsidRPr="00BD3BE5">
        <w:rPr>
          <w:rFonts w:cs="Andalus"/>
        </w:rPr>
        <w:t xml:space="preserve">Task F. </w:t>
      </w:r>
      <w:r w:rsidR="008004B3" w:rsidRPr="00BD3BE5">
        <w:rPr>
          <w:rFonts w:cs="Andalus"/>
        </w:rPr>
        <w:t>(</w:t>
      </w:r>
      <w:r w:rsidRPr="00BD3BE5">
        <w:rPr>
          <w:rFonts w:cs="Andalus"/>
        </w:rPr>
        <w:t xml:space="preserve">1997) in his  study to understand the public attitude towards insurance fraud and the factors that influenced them, using  quantitative and qualitative research and by conducting a telephone survey of 602 households in United States to know the opinion toward insurance fraud committed by insurance providers. He found that insurance providers committed insurance fraud in order to get more money in the form of commission or otherwise. He recommended that the insurance industry should develop an intensive and ongoing public information campaign to educate the public about insurance fraud. </w:t>
      </w:r>
    </w:p>
    <w:p w:rsidR="00B77B53" w:rsidRPr="00BD3BE5" w:rsidRDefault="00B77B53" w:rsidP="008004B3">
      <w:pPr>
        <w:autoSpaceDE w:val="0"/>
        <w:autoSpaceDN w:val="0"/>
        <w:bidi w:val="0"/>
        <w:adjustRightInd w:val="0"/>
        <w:spacing w:after="0" w:line="240" w:lineRule="auto"/>
        <w:jc w:val="both"/>
        <w:rPr>
          <w:rFonts w:cs="Andalus"/>
        </w:rPr>
      </w:pPr>
      <w:r w:rsidRPr="00BD3BE5">
        <w:rPr>
          <w:rFonts w:cs="Andalus"/>
        </w:rPr>
        <w:t>Dionne, Wang</w:t>
      </w:r>
      <w:r w:rsidR="008004B3" w:rsidRPr="00BD3BE5">
        <w:rPr>
          <w:rFonts w:cs="Andalus"/>
        </w:rPr>
        <w:t>(</w:t>
      </w:r>
      <w:r w:rsidRPr="00BD3BE5">
        <w:rPr>
          <w:rFonts w:cs="Andalus"/>
        </w:rPr>
        <w:t xml:space="preserve"> 2013) examined the relationship between insurance fraud and the business cycle and by concentrating on two insurance contracts that may create an incentive to defraud. They find that residual insurance fraud exists both in the contract with replacement cost endorsement and the contract with no-deductible endorsement in the Taiwan automobile theft insurance market. They also show that the severity of insurance fraud is countercyclical. Fraud is stimulated during periods of recession and mitigated during periods of expansion. </w:t>
      </w:r>
    </w:p>
    <w:p w:rsidR="00B77B53" w:rsidRPr="00BD3BE5" w:rsidRDefault="00B77B53" w:rsidP="008F1EEE">
      <w:pPr>
        <w:autoSpaceDE w:val="0"/>
        <w:autoSpaceDN w:val="0"/>
        <w:bidi w:val="0"/>
        <w:adjustRightInd w:val="0"/>
        <w:spacing w:after="0" w:line="240" w:lineRule="auto"/>
        <w:jc w:val="both"/>
        <w:rPr>
          <w:rFonts w:cs="Times New Roman"/>
        </w:rPr>
      </w:pPr>
    </w:p>
    <w:p w:rsidR="00B77B53" w:rsidRPr="00BD3BE5" w:rsidRDefault="00B77B53" w:rsidP="008004B3">
      <w:pPr>
        <w:bidi w:val="0"/>
        <w:spacing w:line="240" w:lineRule="auto"/>
        <w:jc w:val="both"/>
        <w:rPr>
          <w:rFonts w:cs="Andalus"/>
        </w:rPr>
      </w:pPr>
      <w:proofErr w:type="spellStart"/>
      <w:r w:rsidRPr="00BD3BE5">
        <w:rPr>
          <w:rFonts w:cs="Andalus"/>
        </w:rPr>
        <w:t>Gabaldón</w:t>
      </w:r>
      <w:proofErr w:type="spellEnd"/>
      <w:r w:rsidRPr="00BD3BE5">
        <w:rPr>
          <w:rFonts w:cs="Andalus"/>
        </w:rPr>
        <w:t>, el</w:t>
      </w:r>
      <w:r w:rsidR="00DF7C10" w:rsidRPr="00BD3BE5">
        <w:rPr>
          <w:rFonts w:cs="Andalus"/>
        </w:rPr>
        <w:t xml:space="preserve"> a</w:t>
      </w:r>
      <w:r w:rsidRPr="00BD3BE5">
        <w:rPr>
          <w:rFonts w:cs="Andalus"/>
        </w:rPr>
        <w:t>t</w:t>
      </w:r>
      <w:r w:rsidR="008004B3" w:rsidRPr="00BD3BE5">
        <w:rPr>
          <w:rFonts w:cs="Andalus"/>
        </w:rPr>
        <w:t>(</w:t>
      </w:r>
      <w:r w:rsidRPr="00BD3BE5">
        <w:rPr>
          <w:rFonts w:cs="Andalus"/>
        </w:rPr>
        <w:t xml:space="preserve"> 2014) examined the possible effects of different types of insurance contracts on committing insurance fraud; the found that fraud was a prevalent feature in claiming behavior. Thus, the way in which the insurance consumer’s contracts are structured over time appears to have impact on fraudulent activity, which likely has effects upon insurance providers and other insurance consumers. Thus, there is scope for external regulation of exactly which inter temporal structures of contracts should be allowed to be offered.</w:t>
      </w:r>
    </w:p>
    <w:p w:rsidR="00B77B53" w:rsidRPr="00BD3BE5" w:rsidRDefault="00B77B53" w:rsidP="008004B3">
      <w:pPr>
        <w:autoSpaceDE w:val="0"/>
        <w:autoSpaceDN w:val="0"/>
        <w:bidi w:val="0"/>
        <w:adjustRightInd w:val="0"/>
        <w:spacing w:after="0" w:line="240" w:lineRule="auto"/>
        <w:jc w:val="both"/>
        <w:rPr>
          <w:rFonts w:cs="Andalus"/>
        </w:rPr>
      </w:pPr>
      <w:r w:rsidRPr="00BD3BE5">
        <w:rPr>
          <w:rFonts w:cs="Andalus"/>
        </w:rPr>
        <w:t xml:space="preserve"> Tennyson</w:t>
      </w:r>
      <w:r w:rsidR="008004B3" w:rsidRPr="00BD3BE5">
        <w:rPr>
          <w:rFonts w:cs="Andalus"/>
        </w:rPr>
        <w:t>(</w:t>
      </w:r>
      <w:r w:rsidRPr="00BD3BE5">
        <w:rPr>
          <w:rFonts w:cs="Andalus"/>
        </w:rPr>
        <w:t xml:space="preserve"> 2008) discussed the moral, social, and economic dimensions of Insurance Claims Fraud the United States. He found that the fraud is planned behavior and the fraud in automobile, health, and workers compensation insurance are growing.</w:t>
      </w:r>
    </w:p>
    <w:p w:rsidR="00B77B53" w:rsidRPr="00BD3BE5" w:rsidRDefault="00B77B53" w:rsidP="008004B3">
      <w:pPr>
        <w:autoSpaceDE w:val="0"/>
        <w:autoSpaceDN w:val="0"/>
        <w:bidi w:val="0"/>
        <w:adjustRightInd w:val="0"/>
        <w:spacing w:after="0" w:line="240" w:lineRule="auto"/>
        <w:jc w:val="both"/>
        <w:rPr>
          <w:rFonts w:cs="Andalus"/>
        </w:rPr>
      </w:pPr>
      <w:proofErr w:type="spellStart"/>
      <w:r w:rsidRPr="00BD3BE5">
        <w:rPr>
          <w:rFonts w:cs="Andalus"/>
        </w:rPr>
        <w:t>Skiba</w:t>
      </w:r>
      <w:proofErr w:type="spellEnd"/>
      <w:r w:rsidRPr="00BD3BE5">
        <w:rPr>
          <w:rFonts w:cs="Andalus"/>
        </w:rPr>
        <w:t xml:space="preserve"> and </w:t>
      </w:r>
      <w:proofErr w:type="spellStart"/>
      <w:r w:rsidRPr="00BD3BE5">
        <w:rPr>
          <w:rFonts w:cs="Andalus"/>
        </w:rPr>
        <w:t>Disch</w:t>
      </w:r>
      <w:proofErr w:type="spellEnd"/>
      <w:r w:rsidR="008004B3" w:rsidRPr="00BD3BE5">
        <w:rPr>
          <w:rFonts w:cs="Andalus"/>
        </w:rPr>
        <w:t>(</w:t>
      </w:r>
      <w:r w:rsidRPr="00BD3BE5">
        <w:rPr>
          <w:rFonts w:cs="Andalus"/>
        </w:rPr>
        <w:t xml:space="preserve">2014) to explored insurance fraud investigators’ lived experiences of fighting insurance fraud using interpretive qualitative phenomenology. Through data analyses and interpretations of multiple themes that relied on strategies, barriers, trends and environmental factors that affect insurance fraud, they confirmed that importance of the human component and the impact of the changing workforce on identifying and managing fraud, there should be </w:t>
      </w:r>
      <w:proofErr w:type="spellStart"/>
      <w:r w:rsidRPr="00BD3BE5">
        <w:rPr>
          <w:rFonts w:cs="Andalus"/>
        </w:rPr>
        <w:t>astrong</w:t>
      </w:r>
      <w:proofErr w:type="spellEnd"/>
      <w:r w:rsidRPr="00BD3BE5">
        <w:rPr>
          <w:rFonts w:cs="Andalus"/>
        </w:rPr>
        <w:t xml:space="preserve"> human component in order to be impactful in identifying and managing fraud. In addition, personnel changes have caused a decline in the awareness of fraud identification. Also, they revealed that fraud is part of larger social problem, and that an increase in public awareness and outreach is vital in order to change this mindset.</w:t>
      </w:r>
    </w:p>
    <w:p w:rsidR="00E56C1C" w:rsidRPr="00BD3BE5" w:rsidRDefault="00B77B53" w:rsidP="008004B3">
      <w:pPr>
        <w:bidi w:val="0"/>
        <w:spacing w:line="240" w:lineRule="auto"/>
        <w:jc w:val="both"/>
        <w:rPr>
          <w:rFonts w:cs="Andalus"/>
        </w:rPr>
      </w:pPr>
      <w:r w:rsidRPr="00BD3BE5">
        <w:rPr>
          <w:rFonts w:cs="Andalus"/>
        </w:rPr>
        <w:t xml:space="preserve">Gill, Karen Ann </w:t>
      </w:r>
      <w:r w:rsidR="008004B3" w:rsidRPr="00BD3BE5">
        <w:rPr>
          <w:rFonts w:cs="Andalus"/>
        </w:rPr>
        <w:t>(</w:t>
      </w:r>
      <w:r w:rsidRPr="00BD3BE5">
        <w:rPr>
          <w:rFonts w:cs="Andalus"/>
        </w:rPr>
        <w:t>2014) examined the causes, characteristics and prevention of insurance fraud, Insurance companies were surveyed, and data collected by interviews with insurance staff. It emerged that many insurers did not realize they had an insurance fraud problem, and those that did were either doing little to prevent it or were using ineffective methods. Insurance fraudsters are often given a great deal of help, often by officials who abuse the trust placed in them; insurers’ relationship with loss adjusters is not geared to stopping fraudsters, therefor the insurance fraud is become easier. Also this study shows that insurance fraud is mostly an opportunistic crime.</w:t>
      </w:r>
    </w:p>
    <w:p w:rsidR="00E56C1C" w:rsidRPr="00BD3BE5" w:rsidRDefault="00E56C1C" w:rsidP="00BD3BE5">
      <w:pPr>
        <w:pStyle w:val="Default"/>
        <w:jc w:val="both"/>
        <w:rPr>
          <w:rFonts w:asciiTheme="minorHAnsi" w:hAnsiTheme="minorHAnsi"/>
          <w:color w:val="auto"/>
          <w:sz w:val="22"/>
          <w:szCs w:val="22"/>
        </w:rPr>
      </w:pPr>
      <w:r w:rsidRPr="00BD3BE5">
        <w:rPr>
          <w:rFonts w:asciiTheme="minorHAnsi" w:hAnsiTheme="minorHAnsi"/>
          <w:color w:val="auto"/>
          <w:sz w:val="22"/>
          <w:szCs w:val="22"/>
        </w:rPr>
        <w:lastRenderedPageBreak/>
        <w:t xml:space="preserve">Button et al (2013) profiled the household insurance fraudster from close to 40,000 insurance claimants retained on a database </w:t>
      </w:r>
      <w:r w:rsidR="00BD3BE5" w:rsidRPr="00BD3BE5">
        <w:rPr>
          <w:rFonts w:asciiTheme="minorHAnsi" w:hAnsiTheme="minorHAnsi"/>
          <w:color w:val="auto"/>
          <w:sz w:val="22"/>
          <w:szCs w:val="22"/>
        </w:rPr>
        <w:t>.</w:t>
      </w:r>
      <w:r w:rsidRPr="00BD3BE5">
        <w:rPr>
          <w:rFonts w:asciiTheme="minorHAnsi" w:hAnsiTheme="minorHAnsi"/>
          <w:color w:val="auto"/>
          <w:sz w:val="22"/>
          <w:szCs w:val="22"/>
        </w:rPr>
        <w:t xml:space="preserve"> They found that the household insurance fraudster to be almost as likely male as female (54:46), aged 30-50 years with a mean age of 44, and from a variety of occupations. While they suggest caution at generalizing too much from their data, the findings lead the authors to suggest that some types of fraud, at least, were determined by opportunity. </w:t>
      </w:r>
    </w:p>
    <w:p w:rsidR="00E56C1C" w:rsidRPr="00BD3BE5" w:rsidRDefault="00E56C1C" w:rsidP="008F1EEE">
      <w:pPr>
        <w:pStyle w:val="Default"/>
        <w:jc w:val="both"/>
        <w:rPr>
          <w:rFonts w:asciiTheme="minorHAnsi" w:hAnsiTheme="minorHAnsi"/>
          <w:color w:val="auto"/>
          <w:sz w:val="22"/>
          <w:szCs w:val="22"/>
        </w:rPr>
      </w:pPr>
      <w:r w:rsidRPr="00BD3BE5">
        <w:rPr>
          <w:rFonts w:asciiTheme="minorHAnsi" w:hAnsiTheme="minorHAnsi"/>
          <w:color w:val="auto"/>
          <w:sz w:val="22"/>
          <w:szCs w:val="22"/>
        </w:rPr>
        <w:t xml:space="preserve">Gill et </w:t>
      </w:r>
      <w:proofErr w:type="spellStart"/>
      <w:r w:rsidRPr="00BD3BE5">
        <w:rPr>
          <w:rFonts w:asciiTheme="minorHAnsi" w:hAnsiTheme="minorHAnsi"/>
          <w:color w:val="auto"/>
          <w:sz w:val="22"/>
          <w:szCs w:val="22"/>
        </w:rPr>
        <w:t>al’s</w:t>
      </w:r>
      <w:proofErr w:type="spellEnd"/>
      <w:r w:rsidRPr="00BD3BE5">
        <w:rPr>
          <w:rFonts w:asciiTheme="minorHAnsi" w:hAnsiTheme="minorHAnsi"/>
          <w:color w:val="auto"/>
          <w:sz w:val="22"/>
          <w:szCs w:val="22"/>
        </w:rPr>
        <w:t xml:space="preserve"> (1994) work on home insurance fraudsters found that those under 30 years of age were disproportionately more likely to make a fraudulent claim, and 60.8 per cent of those under 45 years of age knew of someone who had committed insurance fraud, with little difference between genders. The vast majority of the small number of people who admitted an insurance fraud also reported knowing someone else who had committed the same offence. </w:t>
      </w:r>
    </w:p>
    <w:p w:rsidR="00225B79" w:rsidRPr="00BD3BE5" w:rsidRDefault="00225B79" w:rsidP="008F1EEE">
      <w:pPr>
        <w:pStyle w:val="Default"/>
        <w:jc w:val="both"/>
        <w:rPr>
          <w:rFonts w:asciiTheme="minorHAnsi" w:hAnsiTheme="minorHAnsi"/>
          <w:color w:val="auto"/>
          <w:sz w:val="22"/>
          <w:szCs w:val="22"/>
        </w:rPr>
      </w:pPr>
    </w:p>
    <w:p w:rsidR="00225B79" w:rsidRPr="00BD3BE5" w:rsidRDefault="00BD3BE5" w:rsidP="00BD3BE5">
      <w:pPr>
        <w:autoSpaceDE w:val="0"/>
        <w:autoSpaceDN w:val="0"/>
        <w:bidi w:val="0"/>
        <w:adjustRightInd w:val="0"/>
        <w:spacing w:after="0" w:line="240" w:lineRule="auto"/>
        <w:jc w:val="both"/>
        <w:rPr>
          <w:rFonts w:eastAsia="Calibri" w:cs="Times New Roman"/>
          <w:b/>
          <w:bCs/>
        </w:rPr>
      </w:pPr>
      <w:r w:rsidRPr="00BD3BE5">
        <w:rPr>
          <w:rFonts w:eastAsia="Calibri" w:cs="Times New Roman"/>
          <w:b/>
          <w:bCs/>
        </w:rPr>
        <w:t xml:space="preserve">Jordanian's </w:t>
      </w:r>
      <w:r w:rsidR="00225B79" w:rsidRPr="00BD3BE5">
        <w:rPr>
          <w:rFonts w:eastAsia="Calibri" w:cs="Times New Roman"/>
          <w:b/>
          <w:bCs/>
        </w:rPr>
        <w:t xml:space="preserve">Insurance Sector </w:t>
      </w:r>
    </w:p>
    <w:p w:rsidR="00225B79" w:rsidRPr="00BD3BE5" w:rsidRDefault="00225B79" w:rsidP="008F1EEE">
      <w:pPr>
        <w:autoSpaceDE w:val="0"/>
        <w:autoSpaceDN w:val="0"/>
        <w:bidi w:val="0"/>
        <w:adjustRightInd w:val="0"/>
        <w:spacing w:after="0" w:line="240" w:lineRule="auto"/>
        <w:jc w:val="both"/>
        <w:rPr>
          <w:rFonts w:eastAsia="Calibri" w:cs="Times New Roman"/>
        </w:rPr>
      </w:pPr>
      <w:r w:rsidRPr="00BD3BE5">
        <w:rPr>
          <w:rFonts w:eastAsia="Calibri" w:cs="Times New Roman"/>
        </w:rPr>
        <w:t>Jordanian's insurance sector is an important economic sector, the total insurance premium were 2.07% of total country GDP at the end of 2014. The sector is supervised and organized by different bodies that are Insurance Commission, Jordan Insurance Federation and central bank.(</w:t>
      </w:r>
      <w:r w:rsidR="00BD3BE5" w:rsidRPr="00BD3BE5">
        <w:rPr>
          <w:rFonts w:eastAsia="Calibri" w:cs="Times New Roman"/>
        </w:rPr>
        <w:t>joif</w:t>
      </w:r>
      <w:r w:rsidRPr="00BD3BE5">
        <w:rPr>
          <w:rFonts w:eastAsia="Calibri" w:cs="Times New Roman"/>
        </w:rPr>
        <w:t>,2016).</w:t>
      </w:r>
    </w:p>
    <w:p w:rsidR="00225B79" w:rsidRPr="00BD3BE5" w:rsidRDefault="00225B79" w:rsidP="00BD3BE5">
      <w:pPr>
        <w:autoSpaceDE w:val="0"/>
        <w:autoSpaceDN w:val="0"/>
        <w:bidi w:val="0"/>
        <w:adjustRightInd w:val="0"/>
        <w:spacing w:after="0" w:line="240" w:lineRule="auto"/>
        <w:jc w:val="both"/>
        <w:rPr>
          <w:rFonts w:eastAsia="Calibri" w:cs="Times New Roman"/>
          <w:b/>
          <w:bCs/>
        </w:rPr>
      </w:pPr>
      <w:r w:rsidRPr="00BD3BE5">
        <w:rPr>
          <w:rFonts w:eastAsia="Calibri" w:cs="Times New Roman"/>
          <w:b/>
          <w:bCs/>
        </w:rPr>
        <w:t>1  Insurance Commission</w:t>
      </w:r>
    </w:p>
    <w:p w:rsidR="00225B79" w:rsidRPr="00BD3BE5" w:rsidRDefault="00225B79" w:rsidP="00BD3BE5">
      <w:pPr>
        <w:autoSpaceDE w:val="0"/>
        <w:autoSpaceDN w:val="0"/>
        <w:bidi w:val="0"/>
        <w:adjustRightInd w:val="0"/>
        <w:spacing w:after="0" w:line="240" w:lineRule="auto"/>
        <w:jc w:val="both"/>
        <w:rPr>
          <w:rFonts w:eastAsia="Calibri" w:cs="Times New Roman"/>
        </w:rPr>
      </w:pPr>
      <w:r w:rsidRPr="00BD3BE5">
        <w:rPr>
          <w:rFonts w:eastAsia="Calibri" w:cs="Times New Roman"/>
        </w:rPr>
        <w:t xml:space="preserve">This Authority was first established under the Insurance Supervision Act No. (33) for the year 1999 and succeeded thereby the Insurance Practices Control Directorate (prior). It is an independent entity in terms of finance and management and in charge of regulating the insurance sector and control and supervise its works so that to provide the environment suitable for enhance the role of insurance industry </w:t>
      </w:r>
      <w:r w:rsidR="00BD3BE5" w:rsidRPr="00BD3BE5">
        <w:rPr>
          <w:rFonts w:eastAsia="Calibri" w:cs="Times New Roman"/>
        </w:rPr>
        <w:t xml:space="preserve">in </w:t>
      </w:r>
      <w:r w:rsidRPr="00BD3BE5">
        <w:rPr>
          <w:rFonts w:eastAsia="Calibri" w:cs="Times New Roman"/>
        </w:rPr>
        <w:t xml:space="preserve">the national economy </w:t>
      </w:r>
      <w:r w:rsidR="00BD3BE5" w:rsidRPr="00BD3BE5">
        <w:rPr>
          <w:rFonts w:eastAsia="Calibri" w:cs="Times New Roman"/>
        </w:rPr>
        <w:t>.</w:t>
      </w:r>
    </w:p>
    <w:p w:rsidR="00225B79" w:rsidRPr="00BD3BE5" w:rsidRDefault="00225B79" w:rsidP="00BD3BE5">
      <w:pPr>
        <w:autoSpaceDE w:val="0"/>
        <w:autoSpaceDN w:val="0"/>
        <w:bidi w:val="0"/>
        <w:adjustRightInd w:val="0"/>
        <w:spacing w:after="0" w:line="240" w:lineRule="auto"/>
        <w:jc w:val="both"/>
        <w:rPr>
          <w:rFonts w:eastAsia="Calibri" w:cs="Times New Roman"/>
        </w:rPr>
      </w:pPr>
      <w:r w:rsidRPr="00BD3BE5">
        <w:rPr>
          <w:rFonts w:eastAsia="Calibri" w:cs="Times New Roman"/>
        </w:rPr>
        <w:t>Duties of this authority have been directed, through its three bodies, those are : the council, the Director General and Executive Staff to protect the rights of the insured parties and control the financial solvency of the companies, to promote the efficiency of their performance, achieve the positive competition among them, seek to provide efficient human workforce qualified enough for the practice of insurance business, disseminate insurance awareness and strengthen relations with the control</w:t>
      </w:r>
      <w:r w:rsidR="00BD3BE5" w:rsidRPr="00BD3BE5">
        <w:rPr>
          <w:rFonts w:eastAsia="Calibri" w:cs="Times New Roman"/>
        </w:rPr>
        <w:t>ling</w:t>
      </w:r>
      <w:r w:rsidRPr="00BD3BE5">
        <w:rPr>
          <w:rFonts w:eastAsia="Calibri" w:cs="Times New Roman"/>
        </w:rPr>
        <w:t xml:space="preserve"> authorities </w:t>
      </w:r>
      <w:r w:rsidR="00BD3BE5" w:rsidRPr="00BD3BE5">
        <w:rPr>
          <w:rFonts w:eastAsia="Calibri" w:cs="Times New Roman"/>
        </w:rPr>
        <w:t>.</w:t>
      </w:r>
    </w:p>
    <w:p w:rsidR="00225B79" w:rsidRPr="00BD3BE5" w:rsidRDefault="00225B79" w:rsidP="00BD3BE5">
      <w:pPr>
        <w:autoSpaceDE w:val="0"/>
        <w:autoSpaceDN w:val="0"/>
        <w:bidi w:val="0"/>
        <w:adjustRightInd w:val="0"/>
        <w:spacing w:after="0" w:line="240" w:lineRule="auto"/>
        <w:jc w:val="both"/>
        <w:rPr>
          <w:rFonts w:eastAsia="Calibri" w:cs="Times New Roman"/>
          <w:b/>
          <w:bCs/>
        </w:rPr>
      </w:pPr>
      <w:r w:rsidRPr="00BD3BE5">
        <w:rPr>
          <w:rFonts w:eastAsia="Calibri" w:cs="Times New Roman"/>
          <w:b/>
          <w:bCs/>
        </w:rPr>
        <w:t>2  Jordan Insurance Federation</w:t>
      </w:r>
    </w:p>
    <w:p w:rsidR="00BD3BE5" w:rsidRPr="00BD3BE5" w:rsidRDefault="00225B79" w:rsidP="00BD3BE5">
      <w:pPr>
        <w:autoSpaceDE w:val="0"/>
        <w:autoSpaceDN w:val="0"/>
        <w:bidi w:val="0"/>
        <w:adjustRightInd w:val="0"/>
        <w:spacing w:after="0" w:line="240" w:lineRule="auto"/>
        <w:jc w:val="both"/>
        <w:rPr>
          <w:rFonts w:eastAsia="Calibri" w:cs="Times New Roman"/>
        </w:rPr>
      </w:pPr>
      <w:r w:rsidRPr="00BD3BE5">
        <w:rPr>
          <w:rFonts w:eastAsia="Calibri" w:cs="Times New Roman"/>
        </w:rPr>
        <w:t xml:space="preserve">The first Association for Insurance Companies was established in 1956 as the first authority for regulating the business of insurance sector in Jordan. In 1987, the Unified Insurance office was created for vehicles insuring until the year 1989 when Jordan Insurance Federation </w:t>
      </w:r>
      <w:r w:rsidR="00BD3BE5" w:rsidRPr="00BD3BE5">
        <w:rPr>
          <w:rFonts w:eastAsia="Calibri" w:cs="Times New Roman"/>
        </w:rPr>
        <w:t xml:space="preserve"> get established.</w:t>
      </w:r>
    </w:p>
    <w:p w:rsidR="00225B79" w:rsidRPr="00BD3BE5" w:rsidRDefault="00225B79" w:rsidP="00BD3BE5">
      <w:pPr>
        <w:autoSpaceDE w:val="0"/>
        <w:autoSpaceDN w:val="0"/>
        <w:bidi w:val="0"/>
        <w:adjustRightInd w:val="0"/>
        <w:spacing w:after="0" w:line="240" w:lineRule="auto"/>
        <w:jc w:val="both"/>
        <w:rPr>
          <w:rFonts w:eastAsia="Calibri" w:cs="Times New Roman"/>
        </w:rPr>
      </w:pPr>
      <w:r w:rsidRPr="00BD3BE5">
        <w:rPr>
          <w:rFonts w:eastAsia="Calibri" w:cs="Times New Roman"/>
        </w:rPr>
        <w:t xml:space="preserve">This Federation is mainly concerned with the developing technical activities for setting up the principles and costumes for the practice of this profession and presentation of the studies to the local insurance market and analyzing of its factors and situations in order to regulate and coordinate insurance practices according to this markets requirements; also for preparation of the directive definitions of the insurance rates and determination of the rules for granting deduction on those rates for the insured parties-clients of insurance companies which are members of this Federation. </w:t>
      </w:r>
      <w:proofErr w:type="spellStart"/>
      <w:r w:rsidRPr="00BD3BE5">
        <w:rPr>
          <w:rFonts w:eastAsia="Calibri" w:cs="Times New Roman"/>
        </w:rPr>
        <w:t>Its</w:t>
      </w:r>
      <w:proofErr w:type="spellEnd"/>
      <w:r w:rsidRPr="00BD3BE5">
        <w:rPr>
          <w:rFonts w:eastAsia="Calibri" w:cs="Times New Roman"/>
        </w:rPr>
        <w:t xml:space="preserve"> also seeks to unify insurance policies and establish insurance and re-insurance pools as required by the market; to enhance trust in insurance sector who are members in this Federation and assumes the responsibility for arranging for insurance seminars and conferences and training courses with the aim to promote insurance business and conduct scientific researches and prepare statistics which better serve insurance sector.</w:t>
      </w:r>
    </w:p>
    <w:p w:rsidR="00225B79" w:rsidRPr="00BD3BE5" w:rsidRDefault="00225B79" w:rsidP="00BD3BE5">
      <w:pPr>
        <w:autoSpaceDE w:val="0"/>
        <w:autoSpaceDN w:val="0"/>
        <w:bidi w:val="0"/>
        <w:adjustRightInd w:val="0"/>
        <w:spacing w:after="0" w:line="240" w:lineRule="auto"/>
        <w:jc w:val="both"/>
        <w:rPr>
          <w:rFonts w:eastAsia="Calibri" w:cs="Times New Roman"/>
          <w:b/>
          <w:bCs/>
        </w:rPr>
      </w:pPr>
      <w:r w:rsidRPr="00BD3BE5">
        <w:rPr>
          <w:rFonts w:eastAsia="Calibri" w:cs="Times New Roman"/>
          <w:b/>
          <w:bCs/>
        </w:rPr>
        <w:t>3  Central bank of Jordan:</w:t>
      </w:r>
    </w:p>
    <w:p w:rsidR="00225B79" w:rsidRDefault="00225B79" w:rsidP="00BD3BE5">
      <w:pPr>
        <w:autoSpaceDE w:val="0"/>
        <w:autoSpaceDN w:val="0"/>
        <w:bidi w:val="0"/>
        <w:adjustRightInd w:val="0"/>
        <w:spacing w:after="0" w:line="240" w:lineRule="auto"/>
        <w:jc w:val="both"/>
        <w:rPr>
          <w:rFonts w:eastAsia="Calibri" w:cs="Times New Roman"/>
        </w:rPr>
      </w:pPr>
      <w:r w:rsidRPr="00BD3BE5">
        <w:rPr>
          <w:rFonts w:eastAsia="Calibri" w:cs="Times New Roman"/>
        </w:rPr>
        <w:t>In 2016, the Council of Ministers approved that the central bank will take over and oversight the insurance sector, as part of his duties. The Council noted the merits of approval to the central bank has experience in the supervision of financial institutions, and the ability to exercise that role effectively, and in line with relevant international regulatory practices.</w:t>
      </w:r>
    </w:p>
    <w:p w:rsidR="006B4AEB" w:rsidRDefault="006B4AEB" w:rsidP="006B4AEB">
      <w:pPr>
        <w:autoSpaceDE w:val="0"/>
        <w:autoSpaceDN w:val="0"/>
        <w:bidi w:val="0"/>
        <w:adjustRightInd w:val="0"/>
        <w:spacing w:after="0" w:line="240" w:lineRule="auto"/>
        <w:jc w:val="both"/>
        <w:rPr>
          <w:rFonts w:eastAsia="Calibri" w:cs="Times New Roman"/>
        </w:rPr>
      </w:pPr>
    </w:p>
    <w:p w:rsidR="006B4AEB" w:rsidRDefault="006B4AEB" w:rsidP="006B4AEB">
      <w:pPr>
        <w:autoSpaceDE w:val="0"/>
        <w:autoSpaceDN w:val="0"/>
        <w:bidi w:val="0"/>
        <w:adjustRightInd w:val="0"/>
        <w:spacing w:after="0" w:line="240" w:lineRule="auto"/>
        <w:jc w:val="both"/>
        <w:rPr>
          <w:rFonts w:eastAsia="Calibri" w:cs="Times New Roman"/>
        </w:rPr>
      </w:pPr>
    </w:p>
    <w:p w:rsidR="009239B2" w:rsidRDefault="009239B2" w:rsidP="009239B2">
      <w:pPr>
        <w:autoSpaceDE w:val="0"/>
        <w:autoSpaceDN w:val="0"/>
        <w:bidi w:val="0"/>
        <w:adjustRightInd w:val="0"/>
        <w:spacing w:after="0" w:line="240" w:lineRule="auto"/>
        <w:jc w:val="both"/>
        <w:rPr>
          <w:rFonts w:eastAsia="Calibri" w:cs="Times New Roman"/>
        </w:rPr>
      </w:pPr>
    </w:p>
    <w:p w:rsidR="006E5EC7" w:rsidRPr="00BD3BE5" w:rsidRDefault="006E5EC7" w:rsidP="008F1EEE">
      <w:pPr>
        <w:autoSpaceDE w:val="0"/>
        <w:autoSpaceDN w:val="0"/>
        <w:adjustRightInd w:val="0"/>
        <w:spacing w:after="0" w:line="240" w:lineRule="auto"/>
        <w:jc w:val="right"/>
        <w:rPr>
          <w:rFonts w:eastAsia="Calibri" w:cs="Times New Roman"/>
          <w:b/>
          <w:bCs/>
          <w:rtl/>
          <w:lang w:bidi="ar-JO"/>
        </w:rPr>
      </w:pPr>
      <w:r w:rsidRPr="00BD3BE5">
        <w:rPr>
          <w:rFonts w:eastAsia="Calibri" w:cs="Times New Roman"/>
          <w:b/>
          <w:bCs/>
        </w:rPr>
        <w:lastRenderedPageBreak/>
        <w:t>Insurance</w:t>
      </w:r>
      <w:r w:rsidR="00225B79" w:rsidRPr="00BD3BE5">
        <w:rPr>
          <w:rFonts w:eastAsia="Calibri" w:cs="Times New Roman"/>
          <w:b/>
          <w:bCs/>
        </w:rPr>
        <w:t xml:space="preserve"> companies </w:t>
      </w:r>
      <w:r w:rsidRPr="00BD3BE5">
        <w:rPr>
          <w:rFonts w:eastAsia="Calibri" w:cs="Times New Roman"/>
          <w:b/>
          <w:bCs/>
        </w:rPr>
        <w:t>in Jordan</w:t>
      </w:r>
    </w:p>
    <w:p w:rsidR="005B1C30" w:rsidRPr="00BD3BE5" w:rsidRDefault="006E5EC7" w:rsidP="008F1EEE">
      <w:pPr>
        <w:autoSpaceDE w:val="0"/>
        <w:autoSpaceDN w:val="0"/>
        <w:bidi w:val="0"/>
        <w:adjustRightInd w:val="0"/>
        <w:spacing w:after="0" w:line="240" w:lineRule="auto"/>
        <w:jc w:val="both"/>
        <w:rPr>
          <w:rFonts w:eastAsia="Calibri" w:cs="Times New Roman"/>
        </w:rPr>
      </w:pPr>
      <w:r w:rsidRPr="00BD3BE5">
        <w:rPr>
          <w:rFonts w:eastAsia="Calibri" w:cs="Times New Roman"/>
        </w:rPr>
        <w:t xml:space="preserve">Jordanian's insurance sector consists of (25) insurance companies, including one company licensed to practice life </w:t>
      </w:r>
      <w:r w:rsidR="005B1C30" w:rsidRPr="00BD3BE5">
        <w:rPr>
          <w:rFonts w:eastAsia="Calibri" w:cs="Times New Roman"/>
        </w:rPr>
        <w:t>insurance business,(9) companies</w:t>
      </w:r>
      <w:r w:rsidR="00D500F4">
        <w:rPr>
          <w:rFonts w:eastAsia="Calibri" w:cs="Times New Roman"/>
        </w:rPr>
        <w:t xml:space="preserve"> </w:t>
      </w:r>
      <w:r w:rsidR="005B1C30" w:rsidRPr="00BD3BE5">
        <w:rPr>
          <w:rFonts w:eastAsia="Calibri" w:cs="Times New Roman"/>
        </w:rPr>
        <w:t>provide</w:t>
      </w:r>
      <w:r w:rsidRPr="00BD3BE5">
        <w:rPr>
          <w:rFonts w:eastAsia="Calibri" w:cs="Times New Roman"/>
        </w:rPr>
        <w:t xml:space="preserve"> general insurance and (15) companies </w:t>
      </w:r>
      <w:r w:rsidR="005B1C30" w:rsidRPr="00BD3BE5">
        <w:rPr>
          <w:rFonts w:eastAsia="Calibri" w:cs="Times New Roman"/>
        </w:rPr>
        <w:t xml:space="preserve">provide </w:t>
      </w:r>
      <w:r w:rsidRPr="00BD3BE5">
        <w:rPr>
          <w:rFonts w:eastAsia="Calibri" w:cs="Times New Roman"/>
        </w:rPr>
        <w:t xml:space="preserve">both types of insurance </w:t>
      </w:r>
      <w:r w:rsidR="005B1C30" w:rsidRPr="00BD3BE5">
        <w:rPr>
          <w:rFonts w:eastAsia="Calibri" w:cs="Times New Roman"/>
        </w:rPr>
        <w:t xml:space="preserve">life </w:t>
      </w:r>
      <w:r w:rsidRPr="00BD3BE5">
        <w:rPr>
          <w:rFonts w:eastAsia="Calibri" w:cs="Times New Roman"/>
        </w:rPr>
        <w:t>and</w:t>
      </w:r>
      <w:r w:rsidR="005B1C30" w:rsidRPr="00BD3BE5">
        <w:rPr>
          <w:rFonts w:eastAsia="Calibri" w:cs="Times New Roman"/>
        </w:rPr>
        <w:t xml:space="preserve"> none-</w:t>
      </w:r>
      <w:r w:rsidRPr="00BD3BE5">
        <w:rPr>
          <w:rFonts w:eastAsia="Calibri" w:cs="Times New Roman"/>
        </w:rPr>
        <w:t xml:space="preserve">life insurance. Additionally, </w:t>
      </w:r>
      <w:r w:rsidR="005B1C30" w:rsidRPr="00BD3BE5">
        <w:rPr>
          <w:rFonts w:eastAsia="Calibri" w:cs="Times New Roman"/>
        </w:rPr>
        <w:t>a r</w:t>
      </w:r>
      <w:r w:rsidRPr="00BD3BE5">
        <w:rPr>
          <w:rFonts w:eastAsia="Calibri" w:cs="Times New Roman"/>
        </w:rPr>
        <w:t xml:space="preserve">egional </w:t>
      </w:r>
      <w:r w:rsidR="005B1C30" w:rsidRPr="00BD3BE5">
        <w:rPr>
          <w:rFonts w:eastAsia="Calibri" w:cs="Times New Roman"/>
        </w:rPr>
        <w:t>co</w:t>
      </w:r>
      <w:r w:rsidRPr="00BD3BE5">
        <w:rPr>
          <w:rFonts w:eastAsia="Calibri" w:cs="Times New Roman"/>
        </w:rPr>
        <w:t>mpany and representative office</w:t>
      </w:r>
      <w:r w:rsidR="005B1C30" w:rsidRPr="00BD3BE5">
        <w:rPr>
          <w:rFonts w:eastAsia="Calibri" w:cs="Times New Roman"/>
        </w:rPr>
        <w:t>.</w:t>
      </w:r>
    </w:p>
    <w:p w:rsidR="00D41194" w:rsidRPr="00BD3BE5" w:rsidRDefault="006E5EC7" w:rsidP="001B2A4A">
      <w:pPr>
        <w:autoSpaceDE w:val="0"/>
        <w:autoSpaceDN w:val="0"/>
        <w:bidi w:val="0"/>
        <w:adjustRightInd w:val="0"/>
        <w:spacing w:after="0" w:line="240" w:lineRule="auto"/>
        <w:jc w:val="both"/>
        <w:rPr>
          <w:rFonts w:eastAsia="Calibri" w:cs="Times New Roman"/>
        </w:rPr>
      </w:pPr>
      <w:r w:rsidRPr="00BD3BE5">
        <w:rPr>
          <w:rFonts w:eastAsia="Calibri" w:cs="Times New Roman"/>
        </w:rPr>
        <w:t xml:space="preserve"> The insurance sector also includes insurance supporting services providers totaling(931), as at the end of 2014, distributed as follows: (584) insurance agents, (149)insurance brokers, (23) reinsurance brokers, (58) loss adjusters and surveyors, (31 )insurance consultants, (19) actuaries, (1) Cover Holder, (16) Companies Administrating Insurance Business, and (11) banks licensed to practice </w:t>
      </w:r>
      <w:r w:rsidRPr="00BD3BE5">
        <w:t>banc</w:t>
      </w:r>
      <w:r w:rsidR="004072DB">
        <w:t xml:space="preserve"> </w:t>
      </w:r>
      <w:r w:rsidRPr="00BD3BE5">
        <w:t>assurance</w:t>
      </w:r>
      <w:r w:rsidRPr="00BD3BE5">
        <w:rPr>
          <w:rFonts w:eastAsia="Calibri" w:cs="Times New Roman"/>
        </w:rPr>
        <w:t>, in addition to the approval that has been granted to practice of reinsurance business broker within the Kingdom for (39) re-insurance brokers residing outside the country</w:t>
      </w:r>
      <w:r w:rsidR="00871D7B" w:rsidRPr="00BD3BE5">
        <w:rPr>
          <w:rFonts w:eastAsia="Calibri" w:cs="Times New Roman"/>
        </w:rPr>
        <w:t>.</w:t>
      </w:r>
      <w:r w:rsidR="007A77DC" w:rsidRPr="00BD3BE5">
        <w:rPr>
          <w:rFonts w:eastAsia="Calibri" w:cs="Times New Roman"/>
        </w:rPr>
        <w:t>(</w:t>
      </w:r>
      <w:proofErr w:type="spellStart"/>
      <w:r w:rsidR="001B2A4A">
        <w:rPr>
          <w:rFonts w:eastAsia="Calibri" w:cs="Times New Roman"/>
        </w:rPr>
        <w:t>Joif</w:t>
      </w:r>
      <w:proofErr w:type="spellEnd"/>
      <w:r w:rsidR="001B2A4A">
        <w:rPr>
          <w:rFonts w:eastAsia="Calibri" w:cs="Times New Roman"/>
        </w:rPr>
        <w:t>,</w:t>
      </w:r>
      <w:r w:rsidR="007A77DC" w:rsidRPr="00BD3BE5">
        <w:rPr>
          <w:rFonts w:eastAsia="Calibri" w:cs="Times New Roman"/>
        </w:rPr>
        <w:t xml:space="preserve"> 2016)</w:t>
      </w:r>
    </w:p>
    <w:p w:rsidR="00D41194" w:rsidRPr="00BD3BE5" w:rsidRDefault="00D41194" w:rsidP="008F1EEE">
      <w:pPr>
        <w:autoSpaceDE w:val="0"/>
        <w:autoSpaceDN w:val="0"/>
        <w:bidi w:val="0"/>
        <w:adjustRightInd w:val="0"/>
        <w:spacing w:after="0" w:line="240" w:lineRule="auto"/>
        <w:jc w:val="both"/>
        <w:rPr>
          <w:rFonts w:eastAsia="Calibri" w:cs="Times New Roman"/>
        </w:rPr>
      </w:pPr>
      <w:r w:rsidRPr="00BD3BE5">
        <w:rPr>
          <w:rFonts w:eastAsia="Calibri" w:cs="Times New Roman"/>
        </w:rPr>
        <w:t>The total insurance premiums</w:t>
      </w:r>
      <w:r w:rsidR="004072DB">
        <w:rPr>
          <w:rFonts w:eastAsia="Calibri" w:cs="Times New Roman"/>
        </w:rPr>
        <w:t xml:space="preserve"> </w:t>
      </w:r>
      <w:r w:rsidRPr="00BD3BE5">
        <w:rPr>
          <w:rFonts w:eastAsia="Calibri" w:cs="Times New Roman"/>
        </w:rPr>
        <w:t xml:space="preserve">to GDP </w:t>
      </w:r>
      <w:r w:rsidR="005B1C30" w:rsidRPr="00BD3BE5">
        <w:rPr>
          <w:rFonts w:eastAsia="Calibri" w:cs="Times New Roman"/>
        </w:rPr>
        <w:t xml:space="preserve">ratio </w:t>
      </w:r>
      <w:r w:rsidRPr="00BD3BE5">
        <w:rPr>
          <w:rFonts w:eastAsia="Calibri" w:cs="Times New Roman"/>
        </w:rPr>
        <w:t>amounted to(2.07%) for 2014 and the insurance premiums per</w:t>
      </w:r>
      <w:r w:rsidR="004072DB">
        <w:rPr>
          <w:rFonts w:eastAsia="Calibri" w:cs="Times New Roman"/>
        </w:rPr>
        <w:t xml:space="preserve"> </w:t>
      </w:r>
      <w:r w:rsidRPr="00BD3BE5">
        <w:rPr>
          <w:rFonts w:eastAsia="Calibri" w:cs="Times New Roman"/>
        </w:rPr>
        <w:t xml:space="preserve">capita for </w:t>
      </w:r>
      <w:r w:rsidR="005B1C30" w:rsidRPr="00BD3BE5">
        <w:rPr>
          <w:rFonts w:eastAsia="Calibri" w:cs="Times New Roman"/>
        </w:rPr>
        <w:t xml:space="preserve">2014 amounted to (78.8) </w:t>
      </w:r>
      <w:proofErr w:type="spellStart"/>
      <w:r w:rsidR="005B1C30" w:rsidRPr="00BD3BE5">
        <w:rPr>
          <w:rFonts w:eastAsia="Calibri" w:cs="Times New Roman"/>
        </w:rPr>
        <w:t>dinars,</w:t>
      </w:r>
      <w:r w:rsidRPr="00BD3BE5">
        <w:rPr>
          <w:rFonts w:eastAsia="Calibri" w:cs="Times New Roman"/>
        </w:rPr>
        <w:t>In</w:t>
      </w:r>
      <w:proofErr w:type="spellEnd"/>
      <w:r w:rsidRPr="00BD3BE5">
        <w:rPr>
          <w:rFonts w:eastAsia="Calibri" w:cs="Times New Roman"/>
        </w:rPr>
        <w:t xml:space="preserve"> 2014, gross written premiums inside Jordan reached JOD (525.8) million,</w:t>
      </w:r>
      <w:r w:rsidR="004072DB">
        <w:rPr>
          <w:rFonts w:eastAsia="Calibri" w:cs="Times New Roman"/>
        </w:rPr>
        <w:t xml:space="preserve"> </w:t>
      </w:r>
      <w:r w:rsidRPr="00BD3BE5">
        <w:rPr>
          <w:rFonts w:eastAsia="Calibri" w:cs="Times New Roman"/>
        </w:rPr>
        <w:t>showing growth of (6.8%) over last year. The growth is attributed to the growth in</w:t>
      </w:r>
      <w:r w:rsidR="004072DB">
        <w:rPr>
          <w:rFonts w:eastAsia="Calibri" w:cs="Times New Roman"/>
        </w:rPr>
        <w:t xml:space="preserve"> </w:t>
      </w:r>
      <w:r w:rsidRPr="00BD3BE5">
        <w:rPr>
          <w:rFonts w:eastAsia="Calibri" w:cs="Times New Roman"/>
        </w:rPr>
        <w:t>written premiums in some insurance licenses, mainly growth of medical insurance</w:t>
      </w:r>
      <w:r w:rsidR="004072DB">
        <w:rPr>
          <w:rFonts w:eastAsia="Calibri" w:cs="Times New Roman"/>
        </w:rPr>
        <w:t xml:space="preserve"> </w:t>
      </w:r>
      <w:r w:rsidRPr="00BD3BE5">
        <w:rPr>
          <w:rFonts w:eastAsia="Calibri" w:cs="Times New Roman"/>
        </w:rPr>
        <w:t>business by (10.1%), life insurance by (11.9%), and motor insurance by (5.2%).In 2014, gross paid claims increased by (17.6%) from 2013 figures to reach JOD</w:t>
      </w:r>
    </w:p>
    <w:p w:rsidR="00D41194" w:rsidRPr="00BD3BE5" w:rsidRDefault="00D41194" w:rsidP="008F1EEE">
      <w:pPr>
        <w:autoSpaceDE w:val="0"/>
        <w:autoSpaceDN w:val="0"/>
        <w:bidi w:val="0"/>
        <w:adjustRightInd w:val="0"/>
        <w:spacing w:after="0" w:line="240" w:lineRule="auto"/>
        <w:jc w:val="both"/>
        <w:rPr>
          <w:rFonts w:eastAsia="Calibri" w:cs="Times New Roman"/>
        </w:rPr>
      </w:pPr>
      <w:r w:rsidRPr="00BD3BE5">
        <w:rPr>
          <w:rFonts w:eastAsia="Calibri" w:cs="Times New Roman"/>
        </w:rPr>
        <w:t>(372.9) million. Gross paid claims increased by (230.5%) in Fire and Other</w:t>
      </w:r>
      <w:r w:rsidR="004072DB">
        <w:rPr>
          <w:rFonts w:eastAsia="Calibri" w:cs="Times New Roman"/>
        </w:rPr>
        <w:t xml:space="preserve"> </w:t>
      </w:r>
      <w:r w:rsidRPr="00BD3BE5">
        <w:rPr>
          <w:rFonts w:eastAsia="Calibri" w:cs="Times New Roman"/>
        </w:rPr>
        <w:t>Damages to Property Insurance and (9.5%) in motor insurance, and (16.5%) in life</w:t>
      </w:r>
      <w:r w:rsidR="004072DB">
        <w:rPr>
          <w:rFonts w:eastAsia="Calibri" w:cs="Times New Roman"/>
        </w:rPr>
        <w:t xml:space="preserve"> </w:t>
      </w:r>
      <w:r w:rsidRPr="00BD3BE5">
        <w:rPr>
          <w:rFonts w:eastAsia="Calibri" w:cs="Times New Roman"/>
        </w:rPr>
        <w:t>insurance.</w:t>
      </w:r>
    </w:p>
    <w:p w:rsidR="00182073" w:rsidRPr="00BD3BE5" w:rsidRDefault="00182073" w:rsidP="008F1EEE">
      <w:pPr>
        <w:autoSpaceDE w:val="0"/>
        <w:autoSpaceDN w:val="0"/>
        <w:bidi w:val="0"/>
        <w:adjustRightInd w:val="0"/>
        <w:spacing w:after="0" w:line="240" w:lineRule="auto"/>
        <w:jc w:val="both"/>
        <w:rPr>
          <w:rFonts w:eastAsia="Calibri" w:cs="Times New Roman"/>
        </w:rPr>
      </w:pPr>
    </w:p>
    <w:p w:rsidR="00D41194" w:rsidRPr="00BD3BE5" w:rsidRDefault="00D41194" w:rsidP="008F1EEE">
      <w:pPr>
        <w:autoSpaceDE w:val="0"/>
        <w:autoSpaceDN w:val="0"/>
        <w:bidi w:val="0"/>
        <w:adjustRightInd w:val="0"/>
        <w:spacing w:after="0" w:line="240" w:lineRule="auto"/>
        <w:jc w:val="both"/>
        <w:rPr>
          <w:rFonts w:eastAsia="Calibri" w:cs="Times New Roman"/>
        </w:rPr>
      </w:pPr>
      <w:r w:rsidRPr="00BD3BE5">
        <w:rPr>
          <w:rFonts w:eastAsia="Calibri" w:cs="Times New Roman"/>
        </w:rPr>
        <w:t>On the other hand, total insurance companies’ investments increased in 2014 by(5.8%) from 2013, amounting to JOD (534.4) million. The sector’s investment in</w:t>
      </w:r>
      <w:r w:rsidR="00EE5934">
        <w:rPr>
          <w:rFonts w:eastAsia="Calibri" w:cs="Times New Roman"/>
        </w:rPr>
        <w:t xml:space="preserve"> </w:t>
      </w:r>
      <w:r w:rsidRPr="00BD3BE5">
        <w:rPr>
          <w:rFonts w:eastAsia="Calibri" w:cs="Times New Roman"/>
        </w:rPr>
        <w:t>deposits grew by (12.7%) over last year, amounting to JOD (232) million by the</w:t>
      </w:r>
      <w:r w:rsidR="00EE5934">
        <w:rPr>
          <w:rFonts w:eastAsia="Calibri" w:cs="Times New Roman"/>
        </w:rPr>
        <w:t xml:space="preserve"> </w:t>
      </w:r>
      <w:r w:rsidRPr="00BD3BE5">
        <w:rPr>
          <w:rFonts w:eastAsia="Calibri" w:cs="Times New Roman"/>
        </w:rPr>
        <w:t>end of 2014 and financial assets at fair value through the Income Statement</w:t>
      </w:r>
      <w:r w:rsidR="00EE5934">
        <w:rPr>
          <w:rFonts w:eastAsia="Calibri" w:cs="Times New Roman"/>
        </w:rPr>
        <w:t xml:space="preserve"> </w:t>
      </w:r>
      <w:r w:rsidRPr="00BD3BE5">
        <w:rPr>
          <w:rFonts w:eastAsia="Calibri" w:cs="Times New Roman"/>
        </w:rPr>
        <w:t>increased by (14.9%) amounting JOD (40.5) million by the end of 2014, and</w:t>
      </w:r>
      <w:r w:rsidR="00EE5934">
        <w:rPr>
          <w:rFonts w:eastAsia="Calibri" w:cs="Times New Roman"/>
        </w:rPr>
        <w:t xml:space="preserve"> </w:t>
      </w:r>
      <w:r w:rsidRPr="00BD3BE5">
        <w:rPr>
          <w:rFonts w:eastAsia="Calibri" w:cs="Times New Roman"/>
        </w:rPr>
        <w:t>investments in real estate increased by (7.2%) amounting to JOD (94) million by</w:t>
      </w:r>
      <w:r w:rsidR="00EE5934">
        <w:rPr>
          <w:rFonts w:eastAsia="Calibri" w:cs="Times New Roman"/>
        </w:rPr>
        <w:t xml:space="preserve"> </w:t>
      </w:r>
      <w:r w:rsidRPr="00BD3BE5">
        <w:rPr>
          <w:rFonts w:eastAsia="Calibri" w:cs="Times New Roman"/>
        </w:rPr>
        <w:t>year end , While Financial assets in the other comprehensive income statement</w:t>
      </w:r>
      <w:r w:rsidR="00EE5934">
        <w:rPr>
          <w:rFonts w:eastAsia="Calibri" w:cs="Times New Roman"/>
        </w:rPr>
        <w:t xml:space="preserve"> </w:t>
      </w:r>
      <w:r w:rsidRPr="00BD3BE5">
        <w:rPr>
          <w:rFonts w:eastAsia="Calibri" w:cs="Times New Roman"/>
        </w:rPr>
        <w:t>decreased by (3.9%) reached JOD (87.1) million, and financial assets at amortized</w:t>
      </w:r>
      <w:r w:rsidR="00EE5934">
        <w:rPr>
          <w:rFonts w:eastAsia="Calibri" w:cs="Times New Roman"/>
        </w:rPr>
        <w:t xml:space="preserve"> </w:t>
      </w:r>
      <w:r w:rsidRPr="00BD3BE5">
        <w:rPr>
          <w:rFonts w:eastAsia="Calibri" w:cs="Times New Roman"/>
        </w:rPr>
        <w:t>cost decreased by (5.8%), or JOD (73.4) million.</w:t>
      </w:r>
      <w:r w:rsidR="00EE5934">
        <w:rPr>
          <w:rFonts w:eastAsia="Calibri" w:cs="Times New Roman"/>
        </w:rPr>
        <w:t xml:space="preserve"> </w:t>
      </w:r>
      <w:r w:rsidRPr="00BD3BE5">
        <w:rPr>
          <w:rFonts w:eastAsia="Calibri" w:cs="Times New Roman"/>
        </w:rPr>
        <w:t>In 2014, the sector earned JOD (41.1) million in net profit before tax, compared to</w:t>
      </w:r>
      <w:r w:rsidR="00EE5934">
        <w:rPr>
          <w:rFonts w:eastAsia="Calibri" w:cs="Times New Roman"/>
        </w:rPr>
        <w:t xml:space="preserve"> </w:t>
      </w:r>
      <w:r w:rsidRPr="00BD3BE5">
        <w:rPr>
          <w:rFonts w:eastAsia="Calibri" w:cs="Times New Roman"/>
        </w:rPr>
        <w:t>JOD (25.1) million in 2013. Whereas Jordanian insurance companies earned JOD</w:t>
      </w:r>
    </w:p>
    <w:p w:rsidR="003572DC" w:rsidRPr="00BD3BE5" w:rsidRDefault="00D41194" w:rsidP="008F1EEE">
      <w:pPr>
        <w:autoSpaceDE w:val="0"/>
        <w:autoSpaceDN w:val="0"/>
        <w:bidi w:val="0"/>
        <w:adjustRightInd w:val="0"/>
        <w:spacing w:after="0" w:line="240" w:lineRule="auto"/>
        <w:jc w:val="both"/>
        <w:rPr>
          <w:rFonts w:eastAsia="Calibri" w:cs="Times New Roman"/>
        </w:rPr>
      </w:pPr>
      <w:r w:rsidRPr="00BD3BE5">
        <w:rPr>
          <w:rFonts w:eastAsia="Calibri" w:cs="Times New Roman"/>
        </w:rPr>
        <w:t>(34.9) million in net technical profits compared to a technical profits of JOD (21.7)million in Jordan last year, which is attributed to achieving technical profit in the</w:t>
      </w:r>
      <w:r w:rsidR="00EE5934">
        <w:rPr>
          <w:rFonts w:eastAsia="Calibri" w:cs="Times New Roman"/>
        </w:rPr>
        <w:t xml:space="preserve"> </w:t>
      </w:r>
      <w:r w:rsidRPr="00BD3BE5">
        <w:rPr>
          <w:rFonts w:eastAsia="Calibri" w:cs="Times New Roman"/>
        </w:rPr>
        <w:t>motor insurance business of JOD (8.2) million in 2014 compared to a technical</w:t>
      </w:r>
      <w:r w:rsidR="00EE5934">
        <w:rPr>
          <w:rFonts w:eastAsia="Calibri" w:cs="Times New Roman"/>
        </w:rPr>
        <w:t xml:space="preserve"> </w:t>
      </w:r>
      <w:r w:rsidRPr="00BD3BE5">
        <w:rPr>
          <w:rFonts w:eastAsia="Calibri" w:cs="Times New Roman"/>
        </w:rPr>
        <w:t>profits of JOD (147) thousand in Jordan last year, and the medical insurance</w:t>
      </w:r>
      <w:r w:rsidR="00EE5934">
        <w:rPr>
          <w:rFonts w:eastAsia="Calibri" w:cs="Times New Roman"/>
        </w:rPr>
        <w:t xml:space="preserve"> </w:t>
      </w:r>
      <w:r w:rsidRPr="00BD3BE5">
        <w:rPr>
          <w:rFonts w:eastAsia="Calibri" w:cs="Times New Roman"/>
        </w:rPr>
        <w:t>business of JOD (7.9) million in 2014 compared to JOD (2.4) million in last year.</w:t>
      </w:r>
      <w:r w:rsidR="00EE5934">
        <w:rPr>
          <w:rFonts w:eastAsia="Calibri" w:cs="Times New Roman"/>
        </w:rPr>
        <w:t xml:space="preserve"> </w:t>
      </w:r>
      <w:r w:rsidRPr="00BD3BE5">
        <w:rPr>
          <w:rFonts w:eastAsia="Calibri" w:cs="Times New Roman"/>
        </w:rPr>
        <w:t>The insurance sector’s returns on financial assets and investments reached JOD(8.8) million, compared to JOD (8.4) million in 2013.</w:t>
      </w:r>
      <w:r w:rsidR="003572DC" w:rsidRPr="00BD3BE5">
        <w:rPr>
          <w:rFonts w:eastAsia="Calibri" w:cs="Times New Roman"/>
        </w:rPr>
        <w:t>Total technical provisions increased to reached JOD (356.1) million in 2014, a(8.6%) increase over last year, which is attributed to increases in most technical</w:t>
      </w:r>
      <w:r w:rsidR="00EE5934">
        <w:rPr>
          <w:rFonts w:eastAsia="Calibri" w:cs="Times New Roman"/>
        </w:rPr>
        <w:t xml:space="preserve"> </w:t>
      </w:r>
      <w:r w:rsidR="003572DC" w:rsidRPr="00BD3BE5">
        <w:rPr>
          <w:rFonts w:eastAsia="Calibri" w:cs="Times New Roman"/>
        </w:rPr>
        <w:t>provisions, especially net outstanding claim provision which increased by (12.9%),net mathematical provision which increased by (9.6%).Paid-up capital reached JOD (268.3) million in 2014; a slight decrease of (4.6%)over last year. Whereas shareholders’ equity increased by (4.7%) compared to last</w:t>
      </w:r>
      <w:r w:rsidR="00EE5934">
        <w:rPr>
          <w:rFonts w:eastAsia="Calibri" w:cs="Times New Roman"/>
        </w:rPr>
        <w:t xml:space="preserve"> </w:t>
      </w:r>
      <w:r w:rsidR="003572DC" w:rsidRPr="00BD3BE5">
        <w:rPr>
          <w:rFonts w:eastAsia="Calibri" w:cs="Times New Roman"/>
        </w:rPr>
        <w:t>year, reaching JOD (332.8) million.</w:t>
      </w:r>
    </w:p>
    <w:p w:rsidR="00B9331D" w:rsidRDefault="003572DC" w:rsidP="008F1EEE">
      <w:pPr>
        <w:autoSpaceDE w:val="0"/>
        <w:autoSpaceDN w:val="0"/>
        <w:bidi w:val="0"/>
        <w:adjustRightInd w:val="0"/>
        <w:spacing w:after="0" w:line="240" w:lineRule="auto"/>
        <w:jc w:val="both"/>
        <w:rPr>
          <w:rFonts w:eastAsia="Calibri" w:cs="Times New Roman"/>
        </w:rPr>
      </w:pPr>
      <w:r w:rsidRPr="00BD3BE5">
        <w:rPr>
          <w:rFonts w:eastAsia="Calibri" w:cs="Times New Roman"/>
        </w:rPr>
        <w:t>It is noted that the loss ratio1 for general (</w:t>
      </w:r>
      <w:proofErr w:type="spellStart"/>
      <w:r w:rsidRPr="00BD3BE5">
        <w:rPr>
          <w:rFonts w:eastAsia="Calibri" w:cs="Times New Roman"/>
        </w:rPr>
        <w:t>non life</w:t>
      </w:r>
      <w:proofErr w:type="spellEnd"/>
      <w:r w:rsidRPr="00BD3BE5">
        <w:rPr>
          <w:rFonts w:eastAsia="Calibri" w:cs="Times New Roman"/>
        </w:rPr>
        <w:t>) business for the Jordanian</w:t>
      </w:r>
      <w:r w:rsidR="00EE5934">
        <w:rPr>
          <w:rFonts w:eastAsia="Calibri" w:cs="Times New Roman"/>
        </w:rPr>
        <w:t xml:space="preserve"> </w:t>
      </w:r>
      <w:r w:rsidRPr="00BD3BE5">
        <w:rPr>
          <w:rFonts w:eastAsia="Calibri" w:cs="Times New Roman"/>
        </w:rPr>
        <w:t>insurance sector marked (86.1%) and the operational profit margin2 was (7.1%).The insurance sector’s net underwritten premiums to total underwritten premiums(retention ratio) was (61%), decreased by (1.4%) compared to last year.</w:t>
      </w:r>
      <w:r w:rsidR="00EE5934">
        <w:rPr>
          <w:rFonts w:eastAsia="Calibri" w:cs="Times New Roman"/>
        </w:rPr>
        <w:t xml:space="preserve"> </w:t>
      </w:r>
      <w:r w:rsidRPr="00BD3BE5">
        <w:rPr>
          <w:rFonts w:eastAsia="Calibri" w:cs="Times New Roman"/>
        </w:rPr>
        <w:t>Insurance companies realized a (4.9%) return on assets and a (12.4%) return on</w:t>
      </w:r>
      <w:r w:rsidR="00460935">
        <w:rPr>
          <w:rFonts w:eastAsia="Calibri" w:cs="Times New Roman"/>
        </w:rPr>
        <w:t xml:space="preserve"> </w:t>
      </w:r>
      <w:r w:rsidRPr="00BD3BE5">
        <w:rPr>
          <w:rFonts w:eastAsia="Calibri" w:cs="Times New Roman"/>
        </w:rPr>
        <w:t>shareholders’</w:t>
      </w:r>
      <w:r w:rsidR="00B9331D" w:rsidRPr="00BD3BE5">
        <w:rPr>
          <w:rFonts w:eastAsia="Calibri" w:cs="Times New Roman"/>
        </w:rPr>
        <w:t xml:space="preserve"> equity( </w:t>
      </w:r>
      <w:proofErr w:type="spellStart"/>
      <w:r w:rsidR="00B9331D" w:rsidRPr="00BD3BE5">
        <w:rPr>
          <w:rFonts w:eastAsia="Calibri" w:cs="Times New Roman"/>
        </w:rPr>
        <w:t>Minstery</w:t>
      </w:r>
      <w:proofErr w:type="spellEnd"/>
      <w:r w:rsidR="00B9331D" w:rsidRPr="00BD3BE5">
        <w:rPr>
          <w:rFonts w:eastAsia="Calibri" w:cs="Times New Roman"/>
        </w:rPr>
        <w:t xml:space="preserve"> of industry and trade and supplies,2014)</w:t>
      </w:r>
    </w:p>
    <w:p w:rsidR="006E5EC7" w:rsidRDefault="006E5EC7" w:rsidP="008F1EEE">
      <w:pPr>
        <w:autoSpaceDE w:val="0"/>
        <w:autoSpaceDN w:val="0"/>
        <w:bidi w:val="0"/>
        <w:adjustRightInd w:val="0"/>
        <w:spacing w:after="0" w:line="240" w:lineRule="auto"/>
        <w:rPr>
          <w:rFonts w:eastAsia="Calibri" w:cs="Times New Roman"/>
          <w:lang w:bidi="ar-JO"/>
        </w:rPr>
      </w:pPr>
    </w:p>
    <w:p w:rsidR="006B4AEB" w:rsidRDefault="006B4AEB" w:rsidP="006B4AEB">
      <w:pPr>
        <w:autoSpaceDE w:val="0"/>
        <w:autoSpaceDN w:val="0"/>
        <w:bidi w:val="0"/>
        <w:adjustRightInd w:val="0"/>
        <w:spacing w:after="0" w:line="240" w:lineRule="auto"/>
        <w:rPr>
          <w:rFonts w:eastAsia="Calibri" w:cs="Times New Roman"/>
          <w:lang w:bidi="ar-JO"/>
        </w:rPr>
      </w:pPr>
    </w:p>
    <w:p w:rsidR="006B4AEB" w:rsidRDefault="006B4AEB" w:rsidP="006B4AEB">
      <w:pPr>
        <w:autoSpaceDE w:val="0"/>
        <w:autoSpaceDN w:val="0"/>
        <w:bidi w:val="0"/>
        <w:adjustRightInd w:val="0"/>
        <w:spacing w:after="0" w:line="240" w:lineRule="auto"/>
        <w:rPr>
          <w:rFonts w:eastAsia="Calibri" w:cs="Times New Roman"/>
          <w:lang w:bidi="ar-JO"/>
        </w:rPr>
      </w:pPr>
    </w:p>
    <w:p w:rsidR="006B4AEB" w:rsidRPr="00BD3BE5" w:rsidRDefault="006B4AEB" w:rsidP="006B4AEB">
      <w:pPr>
        <w:autoSpaceDE w:val="0"/>
        <w:autoSpaceDN w:val="0"/>
        <w:bidi w:val="0"/>
        <w:adjustRightInd w:val="0"/>
        <w:spacing w:after="0" w:line="240" w:lineRule="auto"/>
        <w:rPr>
          <w:rFonts w:eastAsia="Calibri" w:cs="Times New Roman"/>
          <w:rtl/>
          <w:lang w:bidi="ar-JO"/>
        </w:rPr>
      </w:pPr>
      <w:bookmarkStart w:id="0" w:name="_GoBack"/>
      <w:bookmarkEnd w:id="0"/>
    </w:p>
    <w:p w:rsidR="002B69C4" w:rsidRDefault="002B69C4" w:rsidP="008F1EEE">
      <w:pPr>
        <w:pStyle w:val="a3"/>
        <w:tabs>
          <w:tab w:val="left" w:pos="3972"/>
        </w:tabs>
        <w:spacing w:line="240" w:lineRule="auto"/>
        <w:ind w:left="0"/>
        <w:jc w:val="right"/>
        <w:rPr>
          <w:rFonts w:cs="Times New Roman"/>
          <w:b/>
          <w:bCs/>
          <w:rtl/>
          <w:lang w:bidi="ar-JO"/>
        </w:rPr>
      </w:pPr>
      <w:r w:rsidRPr="00BD3BE5">
        <w:rPr>
          <w:rFonts w:cs="Times New Roman"/>
          <w:b/>
          <w:bCs/>
          <w:lang w:bidi="ar-JO"/>
        </w:rPr>
        <w:lastRenderedPageBreak/>
        <w:t>Results of the Study</w:t>
      </w:r>
    </w:p>
    <w:p w:rsidR="00D3666B" w:rsidRPr="00BD3BE5" w:rsidRDefault="00D3666B" w:rsidP="00D3666B">
      <w:pPr>
        <w:autoSpaceDE w:val="0"/>
        <w:autoSpaceDN w:val="0"/>
        <w:bidi w:val="0"/>
        <w:adjustRightInd w:val="0"/>
        <w:spacing w:after="0" w:line="240" w:lineRule="auto"/>
        <w:rPr>
          <w:rFonts w:eastAsia="Calibri" w:cs="Times New Roman"/>
        </w:rPr>
      </w:pPr>
      <w:r w:rsidRPr="00BD3BE5">
        <w:rPr>
          <w:rFonts w:eastAsia="Calibri" w:cs="Times New Roman"/>
        </w:rPr>
        <w:t xml:space="preserve">This section of the study overview and discuss the results of hypothesis </w:t>
      </w:r>
      <w:r w:rsidR="00DB6D44" w:rsidRPr="00BD3BE5">
        <w:rPr>
          <w:rFonts w:eastAsia="Calibri" w:cs="Times New Roman"/>
        </w:rPr>
        <w:t>testing</w:t>
      </w:r>
      <w:r w:rsidR="00DB6D44">
        <w:rPr>
          <w:rFonts w:eastAsia="Calibri" w:cs="Times New Roman"/>
        </w:rPr>
        <w:t xml:space="preserve"> </w:t>
      </w:r>
      <w:proofErr w:type="spellStart"/>
      <w:r w:rsidR="00DB6D44">
        <w:rPr>
          <w:rFonts w:eastAsia="Calibri" w:cs="Times New Roman"/>
        </w:rPr>
        <w:t>of</w:t>
      </w:r>
      <w:r w:rsidR="00DB6D44" w:rsidRPr="00BD3BE5">
        <w:rPr>
          <w:rFonts w:eastAsia="Calibri" w:cs="Times New Roman"/>
        </w:rPr>
        <w:t>the</w:t>
      </w:r>
      <w:proofErr w:type="spellEnd"/>
      <w:r w:rsidR="00DB6D44" w:rsidRPr="00BD3BE5">
        <w:rPr>
          <w:rFonts w:eastAsia="Calibri" w:cs="Times New Roman"/>
        </w:rPr>
        <w:t xml:space="preserve"> study</w:t>
      </w:r>
      <w:r w:rsidRPr="00BD3BE5">
        <w:rPr>
          <w:rFonts w:eastAsia="Calibri" w:cs="Times New Roman"/>
        </w:rPr>
        <w:t xml:space="preserve"> which includes descriptive statistics like median, mean and standard deviations.</w:t>
      </w:r>
    </w:p>
    <w:p w:rsidR="00BD036D" w:rsidRDefault="00BD036D" w:rsidP="008F1EEE">
      <w:pPr>
        <w:pStyle w:val="a3"/>
        <w:tabs>
          <w:tab w:val="left" w:pos="3972"/>
        </w:tabs>
        <w:spacing w:line="240" w:lineRule="auto"/>
        <w:ind w:left="0"/>
        <w:jc w:val="right"/>
        <w:rPr>
          <w:rFonts w:cs="Times New Roman"/>
          <w:b/>
          <w:bCs/>
          <w:lang w:bidi="ar-JO"/>
        </w:rPr>
      </w:pPr>
      <w:r w:rsidRPr="00BD3BE5">
        <w:rPr>
          <w:rFonts w:cs="Times New Roman"/>
          <w:b/>
          <w:bCs/>
          <w:lang w:bidi="ar-JO"/>
        </w:rPr>
        <w:t>Demographic Variables</w:t>
      </w:r>
    </w:p>
    <w:p w:rsidR="00460935" w:rsidRDefault="00460935" w:rsidP="008F1EEE">
      <w:pPr>
        <w:pStyle w:val="a3"/>
        <w:tabs>
          <w:tab w:val="left" w:pos="3972"/>
        </w:tabs>
        <w:spacing w:line="240" w:lineRule="auto"/>
        <w:ind w:left="0"/>
        <w:jc w:val="right"/>
        <w:rPr>
          <w:rFonts w:cs="Times New Roman"/>
          <w:b/>
          <w:bCs/>
          <w:rtl/>
          <w:lang w:bidi="ar-JO"/>
        </w:rPr>
      </w:pPr>
    </w:p>
    <w:p w:rsidR="00D3666B" w:rsidRDefault="00D3666B" w:rsidP="00D3666B">
      <w:pPr>
        <w:pStyle w:val="a3"/>
        <w:tabs>
          <w:tab w:val="left" w:pos="3972"/>
        </w:tabs>
        <w:bidi w:val="0"/>
        <w:spacing w:line="240" w:lineRule="auto"/>
        <w:ind w:left="0"/>
        <w:jc w:val="center"/>
        <w:rPr>
          <w:rFonts w:cs="Times New Roman"/>
          <w:b/>
          <w:bCs/>
          <w:lang w:bidi="ar-JO"/>
        </w:rPr>
      </w:pPr>
      <w:r>
        <w:rPr>
          <w:rFonts w:cs="Times New Roman"/>
          <w:b/>
          <w:bCs/>
          <w:lang w:bidi="ar-JO"/>
        </w:rPr>
        <w:t>Table(1)</w:t>
      </w:r>
    </w:p>
    <w:tbl>
      <w:tblPr>
        <w:tblW w:w="8101" w:type="dxa"/>
        <w:tblInd w:w="93" w:type="dxa"/>
        <w:tblLook w:val="04A0" w:firstRow="1" w:lastRow="0" w:firstColumn="1" w:lastColumn="0" w:noHBand="0" w:noVBand="1"/>
      </w:tblPr>
      <w:tblGrid>
        <w:gridCol w:w="2210"/>
        <w:gridCol w:w="3023"/>
        <w:gridCol w:w="1531"/>
        <w:gridCol w:w="1337"/>
      </w:tblGrid>
      <w:tr w:rsidR="00BD3BE5" w:rsidRPr="00142551" w:rsidTr="00215037">
        <w:trPr>
          <w:trHeight w:val="415"/>
        </w:trPr>
        <w:tc>
          <w:tcPr>
            <w:tcW w:w="22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b/>
                <w:bCs/>
                <w:sz w:val="20"/>
                <w:szCs w:val="20"/>
              </w:rPr>
            </w:pPr>
            <w:r w:rsidRPr="00142551">
              <w:rPr>
                <w:rFonts w:eastAsia="Times New Roman" w:cs="Arial"/>
                <w:b/>
                <w:bCs/>
                <w:sz w:val="20"/>
                <w:szCs w:val="20"/>
              </w:rPr>
              <w:t>Variable</w:t>
            </w:r>
          </w:p>
        </w:tc>
        <w:tc>
          <w:tcPr>
            <w:tcW w:w="3023" w:type="dxa"/>
            <w:tcBorders>
              <w:top w:val="single" w:sz="8" w:space="0" w:color="auto"/>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rPr>
                <w:rFonts w:eastAsia="Times New Roman" w:cs="Arial"/>
                <w:b/>
                <w:bCs/>
                <w:sz w:val="20"/>
                <w:szCs w:val="20"/>
              </w:rPr>
            </w:pPr>
            <w:r w:rsidRPr="00142551">
              <w:rPr>
                <w:rFonts w:eastAsia="Times New Roman" w:cs="Arial"/>
                <w:b/>
                <w:bCs/>
                <w:sz w:val="20"/>
                <w:szCs w:val="20"/>
              </w:rPr>
              <w:t> </w:t>
            </w:r>
          </w:p>
        </w:tc>
        <w:tc>
          <w:tcPr>
            <w:tcW w:w="1531" w:type="dxa"/>
            <w:tcBorders>
              <w:top w:val="single" w:sz="8" w:space="0" w:color="auto"/>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jc w:val="center"/>
              <w:rPr>
                <w:rFonts w:eastAsia="Times New Roman" w:cs="Arial"/>
                <w:b/>
                <w:bCs/>
                <w:sz w:val="20"/>
                <w:szCs w:val="20"/>
              </w:rPr>
            </w:pPr>
            <w:r w:rsidRPr="00142551">
              <w:rPr>
                <w:rFonts w:eastAsia="Times New Roman" w:cs="Arial"/>
                <w:b/>
                <w:bCs/>
                <w:sz w:val="20"/>
                <w:szCs w:val="20"/>
              </w:rPr>
              <w:t>No. of Respondents</w:t>
            </w:r>
          </w:p>
        </w:tc>
        <w:tc>
          <w:tcPr>
            <w:tcW w:w="1337" w:type="dxa"/>
            <w:tcBorders>
              <w:top w:val="single" w:sz="8" w:space="0" w:color="auto"/>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b/>
                <w:bCs/>
                <w:sz w:val="20"/>
                <w:szCs w:val="20"/>
              </w:rPr>
            </w:pPr>
            <w:r w:rsidRPr="00142551">
              <w:rPr>
                <w:rFonts w:eastAsia="Times New Roman" w:cs="Arial"/>
                <w:b/>
                <w:bCs/>
                <w:sz w:val="20"/>
                <w:szCs w:val="20"/>
              </w:rPr>
              <w:t>Percentage</w:t>
            </w:r>
          </w:p>
        </w:tc>
      </w:tr>
      <w:tr w:rsidR="00BD3BE5" w:rsidRPr="00142551" w:rsidTr="00215037">
        <w:trPr>
          <w:trHeight w:val="249"/>
        </w:trPr>
        <w:tc>
          <w:tcPr>
            <w:tcW w:w="2210" w:type="dxa"/>
            <w:vMerge w:val="restart"/>
            <w:tcBorders>
              <w:top w:val="nil"/>
              <w:left w:val="single" w:sz="8" w:space="0" w:color="auto"/>
              <w:bottom w:val="single" w:sz="8" w:space="0" w:color="000000"/>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The company's age</w:t>
            </w: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 xml:space="preserve"> Less than 5 years</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0</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0%</w:t>
            </w:r>
          </w:p>
        </w:tc>
      </w:tr>
      <w:tr w:rsidR="00BD3BE5" w:rsidRPr="00142551" w:rsidTr="00215037">
        <w:trPr>
          <w:trHeight w:val="249"/>
        </w:trPr>
        <w:tc>
          <w:tcPr>
            <w:tcW w:w="2210" w:type="dxa"/>
            <w:vMerge/>
            <w:tcBorders>
              <w:top w:val="nil"/>
              <w:left w:val="single" w:sz="8" w:space="0" w:color="auto"/>
              <w:bottom w:val="single" w:sz="8" w:space="0" w:color="000000"/>
              <w:right w:val="single" w:sz="8" w:space="0" w:color="auto"/>
            </w:tcBorders>
            <w:vAlign w:val="center"/>
            <w:hideMark/>
          </w:tcPr>
          <w:p w:rsidR="00215037" w:rsidRPr="00142551" w:rsidRDefault="00215037" w:rsidP="008F1EEE">
            <w:pPr>
              <w:bidi w:val="0"/>
              <w:spacing w:after="0" w:line="240" w:lineRule="auto"/>
              <w:rPr>
                <w:rFonts w:eastAsia="Times New Roman" w:cs="Arial"/>
                <w:sz w:val="20"/>
                <w:szCs w:val="20"/>
              </w:rPr>
            </w:pP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D3666B" w:rsidP="00D3666B">
            <w:pPr>
              <w:bidi w:val="0"/>
              <w:spacing w:after="0" w:line="240" w:lineRule="auto"/>
              <w:rPr>
                <w:rFonts w:eastAsia="Times New Roman" w:cs="Arial"/>
                <w:sz w:val="20"/>
                <w:szCs w:val="20"/>
              </w:rPr>
            </w:pPr>
            <w:r w:rsidRPr="00142551">
              <w:rPr>
                <w:rFonts w:eastAsia="Times New Roman" w:cs="Arial"/>
                <w:sz w:val="20"/>
                <w:szCs w:val="20"/>
              </w:rPr>
              <w:t xml:space="preserve">From </w:t>
            </w:r>
            <w:r w:rsidR="00215037" w:rsidRPr="00142551">
              <w:rPr>
                <w:rFonts w:eastAsia="Times New Roman" w:cs="Arial"/>
                <w:sz w:val="20"/>
                <w:szCs w:val="20"/>
              </w:rPr>
              <w:t xml:space="preserve"> 6 </w:t>
            </w:r>
            <w:r w:rsidRPr="00142551">
              <w:rPr>
                <w:rFonts w:eastAsia="Times New Roman" w:cs="Arial"/>
                <w:sz w:val="20"/>
                <w:szCs w:val="20"/>
              </w:rPr>
              <w:t xml:space="preserve">to less than </w:t>
            </w:r>
            <w:r w:rsidR="00215037" w:rsidRPr="00142551">
              <w:rPr>
                <w:rFonts w:eastAsia="Times New Roman" w:cs="Arial"/>
                <w:sz w:val="20"/>
                <w:szCs w:val="20"/>
              </w:rPr>
              <w:t xml:space="preserve"> 10 years</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13</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23%</w:t>
            </w:r>
          </w:p>
        </w:tc>
      </w:tr>
      <w:tr w:rsidR="00BD3BE5" w:rsidRPr="00142551" w:rsidTr="00215037">
        <w:trPr>
          <w:trHeight w:val="249"/>
        </w:trPr>
        <w:tc>
          <w:tcPr>
            <w:tcW w:w="2210" w:type="dxa"/>
            <w:vMerge/>
            <w:tcBorders>
              <w:top w:val="nil"/>
              <w:left w:val="single" w:sz="8" w:space="0" w:color="auto"/>
              <w:bottom w:val="single" w:sz="8" w:space="0" w:color="000000"/>
              <w:right w:val="single" w:sz="8" w:space="0" w:color="auto"/>
            </w:tcBorders>
            <w:vAlign w:val="center"/>
            <w:hideMark/>
          </w:tcPr>
          <w:p w:rsidR="00215037" w:rsidRPr="00142551" w:rsidRDefault="00215037" w:rsidP="008F1EEE">
            <w:pPr>
              <w:bidi w:val="0"/>
              <w:spacing w:after="0" w:line="240" w:lineRule="auto"/>
              <w:rPr>
                <w:rFonts w:eastAsia="Times New Roman" w:cs="Arial"/>
                <w:sz w:val="20"/>
                <w:szCs w:val="20"/>
              </w:rPr>
            </w:pP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More than 10 years</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43</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77%</w:t>
            </w:r>
          </w:p>
        </w:tc>
      </w:tr>
      <w:tr w:rsidR="00BD3BE5" w:rsidRPr="00142551" w:rsidTr="00215037">
        <w:trPr>
          <w:trHeight w:val="249"/>
        </w:trPr>
        <w:tc>
          <w:tcPr>
            <w:tcW w:w="2210" w:type="dxa"/>
            <w:vMerge w:val="restart"/>
            <w:tcBorders>
              <w:top w:val="nil"/>
              <w:left w:val="single" w:sz="8" w:space="0" w:color="auto"/>
              <w:bottom w:val="single" w:sz="8" w:space="0" w:color="000000"/>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Company Size</w:t>
            </w: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Less than 5 million</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13</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23%</w:t>
            </w:r>
          </w:p>
        </w:tc>
      </w:tr>
      <w:tr w:rsidR="00BD3BE5" w:rsidRPr="00142551" w:rsidTr="00215037">
        <w:trPr>
          <w:trHeight w:val="249"/>
        </w:trPr>
        <w:tc>
          <w:tcPr>
            <w:tcW w:w="2210" w:type="dxa"/>
            <w:vMerge/>
            <w:tcBorders>
              <w:top w:val="nil"/>
              <w:left w:val="single" w:sz="8" w:space="0" w:color="auto"/>
              <w:bottom w:val="single" w:sz="8" w:space="0" w:color="000000"/>
              <w:right w:val="single" w:sz="8" w:space="0" w:color="auto"/>
            </w:tcBorders>
            <w:vAlign w:val="center"/>
            <w:hideMark/>
          </w:tcPr>
          <w:p w:rsidR="00215037" w:rsidRPr="00142551" w:rsidRDefault="00215037" w:rsidP="008F1EEE">
            <w:pPr>
              <w:bidi w:val="0"/>
              <w:spacing w:after="0" w:line="240" w:lineRule="auto"/>
              <w:rPr>
                <w:rFonts w:eastAsia="Times New Roman" w:cs="Arial"/>
                <w:sz w:val="20"/>
                <w:szCs w:val="20"/>
              </w:rPr>
            </w:pP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From 5 to less than 10 million</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23</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41%</w:t>
            </w:r>
          </w:p>
        </w:tc>
      </w:tr>
      <w:tr w:rsidR="00BD3BE5" w:rsidRPr="00142551" w:rsidTr="00215037">
        <w:trPr>
          <w:trHeight w:val="249"/>
        </w:trPr>
        <w:tc>
          <w:tcPr>
            <w:tcW w:w="2210" w:type="dxa"/>
            <w:vMerge/>
            <w:tcBorders>
              <w:top w:val="nil"/>
              <w:left w:val="single" w:sz="8" w:space="0" w:color="auto"/>
              <w:bottom w:val="single" w:sz="8" w:space="0" w:color="000000"/>
              <w:right w:val="single" w:sz="8" w:space="0" w:color="auto"/>
            </w:tcBorders>
            <w:vAlign w:val="center"/>
            <w:hideMark/>
          </w:tcPr>
          <w:p w:rsidR="00215037" w:rsidRPr="00142551" w:rsidRDefault="00215037" w:rsidP="008F1EEE">
            <w:pPr>
              <w:bidi w:val="0"/>
              <w:spacing w:after="0" w:line="240" w:lineRule="auto"/>
              <w:rPr>
                <w:rFonts w:eastAsia="Times New Roman" w:cs="Arial"/>
                <w:sz w:val="20"/>
                <w:szCs w:val="20"/>
              </w:rPr>
            </w:pP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10 million and more</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20</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36%</w:t>
            </w:r>
          </w:p>
        </w:tc>
      </w:tr>
      <w:tr w:rsidR="00BD3BE5" w:rsidRPr="00142551" w:rsidTr="00215037">
        <w:trPr>
          <w:trHeight w:val="249"/>
        </w:trPr>
        <w:tc>
          <w:tcPr>
            <w:tcW w:w="2210" w:type="dxa"/>
            <w:vMerge w:val="restart"/>
            <w:tcBorders>
              <w:top w:val="nil"/>
              <w:left w:val="single" w:sz="8" w:space="0" w:color="auto"/>
              <w:bottom w:val="single" w:sz="8" w:space="0" w:color="000000"/>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Number of Employees</w:t>
            </w: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Less than 50</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0</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0%</w:t>
            </w:r>
          </w:p>
        </w:tc>
      </w:tr>
      <w:tr w:rsidR="00BD3BE5" w:rsidRPr="00142551" w:rsidTr="00215037">
        <w:trPr>
          <w:trHeight w:val="249"/>
        </w:trPr>
        <w:tc>
          <w:tcPr>
            <w:tcW w:w="2210" w:type="dxa"/>
            <w:vMerge/>
            <w:tcBorders>
              <w:top w:val="nil"/>
              <w:left w:val="single" w:sz="8" w:space="0" w:color="auto"/>
              <w:bottom w:val="single" w:sz="8" w:space="0" w:color="000000"/>
              <w:right w:val="single" w:sz="8" w:space="0" w:color="auto"/>
            </w:tcBorders>
            <w:vAlign w:val="center"/>
            <w:hideMark/>
          </w:tcPr>
          <w:p w:rsidR="00215037" w:rsidRPr="00142551" w:rsidRDefault="00215037" w:rsidP="008F1EEE">
            <w:pPr>
              <w:bidi w:val="0"/>
              <w:spacing w:after="0" w:line="240" w:lineRule="auto"/>
              <w:rPr>
                <w:rFonts w:eastAsia="Times New Roman" w:cs="Arial"/>
                <w:sz w:val="20"/>
                <w:szCs w:val="20"/>
              </w:rPr>
            </w:pP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From 51 to less than 100</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35</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63%</w:t>
            </w:r>
          </w:p>
        </w:tc>
      </w:tr>
      <w:tr w:rsidR="00BD3BE5" w:rsidRPr="00142551" w:rsidTr="00215037">
        <w:trPr>
          <w:trHeight w:val="249"/>
        </w:trPr>
        <w:tc>
          <w:tcPr>
            <w:tcW w:w="2210" w:type="dxa"/>
            <w:vMerge/>
            <w:tcBorders>
              <w:top w:val="nil"/>
              <w:left w:val="single" w:sz="8" w:space="0" w:color="auto"/>
              <w:bottom w:val="single" w:sz="8" w:space="0" w:color="000000"/>
              <w:right w:val="single" w:sz="8" w:space="0" w:color="auto"/>
            </w:tcBorders>
            <w:vAlign w:val="center"/>
            <w:hideMark/>
          </w:tcPr>
          <w:p w:rsidR="00215037" w:rsidRPr="00142551" w:rsidRDefault="00215037" w:rsidP="008F1EEE">
            <w:pPr>
              <w:bidi w:val="0"/>
              <w:spacing w:after="0" w:line="240" w:lineRule="auto"/>
              <w:rPr>
                <w:rFonts w:eastAsia="Times New Roman" w:cs="Arial"/>
                <w:sz w:val="20"/>
                <w:szCs w:val="20"/>
              </w:rPr>
            </w:pP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 xml:space="preserve"> more than 100</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21</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38%</w:t>
            </w:r>
          </w:p>
        </w:tc>
      </w:tr>
      <w:tr w:rsidR="00BD3BE5" w:rsidRPr="00142551" w:rsidTr="00215037">
        <w:trPr>
          <w:trHeight w:val="249"/>
        </w:trPr>
        <w:tc>
          <w:tcPr>
            <w:tcW w:w="2210" w:type="dxa"/>
            <w:vMerge w:val="restart"/>
            <w:tcBorders>
              <w:top w:val="nil"/>
              <w:left w:val="single" w:sz="8" w:space="0" w:color="auto"/>
              <w:bottom w:val="single" w:sz="8" w:space="0" w:color="000000"/>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services offered</w:t>
            </w: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Life</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1</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2%</w:t>
            </w:r>
          </w:p>
        </w:tc>
      </w:tr>
      <w:tr w:rsidR="00BD3BE5" w:rsidRPr="00142551" w:rsidTr="00215037">
        <w:trPr>
          <w:trHeight w:val="249"/>
        </w:trPr>
        <w:tc>
          <w:tcPr>
            <w:tcW w:w="2210" w:type="dxa"/>
            <w:vMerge/>
            <w:tcBorders>
              <w:top w:val="nil"/>
              <w:left w:val="single" w:sz="8" w:space="0" w:color="auto"/>
              <w:bottom w:val="single" w:sz="8" w:space="0" w:color="000000"/>
              <w:right w:val="single" w:sz="8" w:space="0" w:color="auto"/>
            </w:tcBorders>
            <w:vAlign w:val="center"/>
            <w:hideMark/>
          </w:tcPr>
          <w:p w:rsidR="00215037" w:rsidRPr="00142551" w:rsidRDefault="00215037" w:rsidP="008F1EEE">
            <w:pPr>
              <w:bidi w:val="0"/>
              <w:spacing w:after="0" w:line="240" w:lineRule="auto"/>
              <w:rPr>
                <w:rFonts w:eastAsia="Times New Roman" w:cs="Arial"/>
                <w:sz w:val="20"/>
                <w:szCs w:val="20"/>
              </w:rPr>
            </w:pP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Non – life</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13</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23%</w:t>
            </w:r>
          </w:p>
        </w:tc>
      </w:tr>
      <w:tr w:rsidR="00BD3BE5" w:rsidRPr="00142551" w:rsidTr="00215037">
        <w:trPr>
          <w:trHeight w:val="249"/>
        </w:trPr>
        <w:tc>
          <w:tcPr>
            <w:tcW w:w="2210" w:type="dxa"/>
            <w:vMerge/>
            <w:tcBorders>
              <w:top w:val="nil"/>
              <w:left w:val="single" w:sz="8" w:space="0" w:color="auto"/>
              <w:bottom w:val="single" w:sz="8" w:space="0" w:color="000000"/>
              <w:right w:val="single" w:sz="8" w:space="0" w:color="auto"/>
            </w:tcBorders>
            <w:vAlign w:val="center"/>
            <w:hideMark/>
          </w:tcPr>
          <w:p w:rsidR="00215037" w:rsidRPr="00142551" w:rsidRDefault="00215037" w:rsidP="008F1EEE">
            <w:pPr>
              <w:bidi w:val="0"/>
              <w:spacing w:after="0" w:line="240" w:lineRule="auto"/>
              <w:rPr>
                <w:rFonts w:eastAsia="Times New Roman" w:cs="Arial"/>
                <w:sz w:val="20"/>
                <w:szCs w:val="20"/>
              </w:rPr>
            </w:pP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both of them</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42</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75%</w:t>
            </w:r>
          </w:p>
        </w:tc>
      </w:tr>
      <w:tr w:rsidR="00BD3BE5" w:rsidRPr="00142551" w:rsidTr="00215037">
        <w:trPr>
          <w:trHeight w:val="249"/>
        </w:trPr>
        <w:tc>
          <w:tcPr>
            <w:tcW w:w="2210" w:type="dxa"/>
            <w:vMerge w:val="restart"/>
            <w:tcBorders>
              <w:top w:val="nil"/>
              <w:left w:val="single" w:sz="8" w:space="0" w:color="auto"/>
              <w:bottom w:val="single" w:sz="8" w:space="0" w:color="000000"/>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Company Branches</w:t>
            </w: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Less than 5 branches</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35</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63%</w:t>
            </w:r>
          </w:p>
        </w:tc>
      </w:tr>
      <w:tr w:rsidR="00BD3BE5" w:rsidRPr="00142551" w:rsidTr="00215037">
        <w:trPr>
          <w:trHeight w:val="249"/>
        </w:trPr>
        <w:tc>
          <w:tcPr>
            <w:tcW w:w="2210" w:type="dxa"/>
            <w:vMerge/>
            <w:tcBorders>
              <w:top w:val="nil"/>
              <w:left w:val="single" w:sz="8" w:space="0" w:color="auto"/>
              <w:bottom w:val="single" w:sz="8" w:space="0" w:color="000000"/>
              <w:right w:val="single" w:sz="8" w:space="0" w:color="auto"/>
            </w:tcBorders>
            <w:vAlign w:val="center"/>
            <w:hideMark/>
          </w:tcPr>
          <w:p w:rsidR="00215037" w:rsidRPr="00142551" w:rsidRDefault="00215037" w:rsidP="008F1EEE">
            <w:pPr>
              <w:bidi w:val="0"/>
              <w:spacing w:after="0" w:line="240" w:lineRule="auto"/>
              <w:rPr>
                <w:rFonts w:eastAsia="Times New Roman" w:cs="Arial"/>
                <w:sz w:val="20"/>
                <w:szCs w:val="20"/>
              </w:rPr>
            </w:pP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 xml:space="preserve">From 5 to </w:t>
            </w:r>
            <w:r w:rsidR="00D3666B" w:rsidRPr="00142551">
              <w:rPr>
                <w:rFonts w:eastAsia="Times New Roman" w:cs="Arial"/>
                <w:sz w:val="20"/>
                <w:szCs w:val="20"/>
              </w:rPr>
              <w:t xml:space="preserve">less than </w:t>
            </w:r>
            <w:r w:rsidRPr="00142551">
              <w:rPr>
                <w:rFonts w:eastAsia="Times New Roman" w:cs="Arial"/>
                <w:sz w:val="20"/>
                <w:szCs w:val="20"/>
              </w:rPr>
              <w:t>10 branches</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21</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38%</w:t>
            </w:r>
          </w:p>
        </w:tc>
      </w:tr>
      <w:tr w:rsidR="00BD3BE5" w:rsidRPr="00142551" w:rsidTr="00215037">
        <w:trPr>
          <w:trHeight w:val="249"/>
        </w:trPr>
        <w:tc>
          <w:tcPr>
            <w:tcW w:w="2210" w:type="dxa"/>
            <w:vMerge/>
            <w:tcBorders>
              <w:top w:val="nil"/>
              <w:left w:val="single" w:sz="8" w:space="0" w:color="auto"/>
              <w:bottom w:val="single" w:sz="8" w:space="0" w:color="000000"/>
              <w:right w:val="single" w:sz="8" w:space="0" w:color="auto"/>
            </w:tcBorders>
            <w:vAlign w:val="center"/>
            <w:hideMark/>
          </w:tcPr>
          <w:p w:rsidR="00215037" w:rsidRPr="00142551" w:rsidRDefault="00215037" w:rsidP="008F1EEE">
            <w:pPr>
              <w:bidi w:val="0"/>
              <w:spacing w:after="0" w:line="240" w:lineRule="auto"/>
              <w:rPr>
                <w:rFonts w:eastAsia="Times New Roman" w:cs="Arial"/>
                <w:sz w:val="20"/>
                <w:szCs w:val="20"/>
              </w:rPr>
            </w:pP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More than 10 branches</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0</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0%</w:t>
            </w:r>
          </w:p>
        </w:tc>
      </w:tr>
      <w:tr w:rsidR="00BD3BE5" w:rsidRPr="00142551" w:rsidTr="00215037">
        <w:trPr>
          <w:trHeight w:val="249"/>
        </w:trPr>
        <w:tc>
          <w:tcPr>
            <w:tcW w:w="2210" w:type="dxa"/>
            <w:vMerge w:val="restart"/>
            <w:tcBorders>
              <w:top w:val="nil"/>
              <w:left w:val="single" w:sz="8" w:space="0" w:color="auto"/>
              <w:bottom w:val="single" w:sz="8" w:space="0" w:color="000000"/>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intermediates/brokers</w:t>
            </w: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 xml:space="preserve">Less than 5 </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10</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18%</w:t>
            </w:r>
          </w:p>
        </w:tc>
      </w:tr>
      <w:tr w:rsidR="00BD3BE5" w:rsidRPr="00142551" w:rsidTr="00215037">
        <w:trPr>
          <w:trHeight w:val="249"/>
        </w:trPr>
        <w:tc>
          <w:tcPr>
            <w:tcW w:w="2210" w:type="dxa"/>
            <w:vMerge/>
            <w:tcBorders>
              <w:top w:val="nil"/>
              <w:left w:val="single" w:sz="8" w:space="0" w:color="auto"/>
              <w:bottom w:val="single" w:sz="8" w:space="0" w:color="000000"/>
              <w:right w:val="single" w:sz="8" w:space="0" w:color="auto"/>
            </w:tcBorders>
            <w:vAlign w:val="center"/>
            <w:hideMark/>
          </w:tcPr>
          <w:p w:rsidR="00215037" w:rsidRPr="00142551" w:rsidRDefault="00215037" w:rsidP="008F1EEE">
            <w:pPr>
              <w:bidi w:val="0"/>
              <w:spacing w:after="0" w:line="240" w:lineRule="auto"/>
              <w:rPr>
                <w:rFonts w:eastAsia="Times New Roman" w:cs="Arial"/>
                <w:sz w:val="20"/>
                <w:szCs w:val="20"/>
              </w:rPr>
            </w:pP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From 5 to</w:t>
            </w:r>
            <w:r w:rsidR="00D3666B" w:rsidRPr="00142551">
              <w:rPr>
                <w:rFonts w:eastAsia="Times New Roman" w:cs="Arial"/>
                <w:sz w:val="20"/>
                <w:szCs w:val="20"/>
              </w:rPr>
              <w:t xml:space="preserve"> less than</w:t>
            </w:r>
            <w:r w:rsidRPr="00142551">
              <w:rPr>
                <w:rFonts w:eastAsia="Times New Roman" w:cs="Arial"/>
                <w:sz w:val="20"/>
                <w:szCs w:val="20"/>
              </w:rPr>
              <w:t xml:space="preserve"> 10 </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35</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63%</w:t>
            </w:r>
          </w:p>
        </w:tc>
      </w:tr>
      <w:tr w:rsidR="00BD3BE5" w:rsidRPr="00142551" w:rsidTr="00215037">
        <w:trPr>
          <w:trHeight w:val="249"/>
        </w:trPr>
        <w:tc>
          <w:tcPr>
            <w:tcW w:w="2210" w:type="dxa"/>
            <w:vMerge/>
            <w:tcBorders>
              <w:top w:val="nil"/>
              <w:left w:val="single" w:sz="8" w:space="0" w:color="auto"/>
              <w:bottom w:val="single" w:sz="8" w:space="0" w:color="000000"/>
              <w:right w:val="single" w:sz="8" w:space="0" w:color="auto"/>
            </w:tcBorders>
            <w:vAlign w:val="center"/>
            <w:hideMark/>
          </w:tcPr>
          <w:p w:rsidR="00215037" w:rsidRPr="00142551" w:rsidRDefault="00215037" w:rsidP="008F1EEE">
            <w:pPr>
              <w:bidi w:val="0"/>
              <w:spacing w:after="0" w:line="240" w:lineRule="auto"/>
              <w:rPr>
                <w:rFonts w:eastAsia="Times New Roman" w:cs="Arial"/>
                <w:sz w:val="20"/>
                <w:szCs w:val="20"/>
              </w:rPr>
            </w:pPr>
          </w:p>
        </w:tc>
        <w:tc>
          <w:tcPr>
            <w:tcW w:w="3023" w:type="dxa"/>
            <w:tcBorders>
              <w:top w:val="nil"/>
              <w:left w:val="nil"/>
              <w:bottom w:val="single" w:sz="8" w:space="0" w:color="auto"/>
              <w:right w:val="single" w:sz="8" w:space="0" w:color="auto"/>
            </w:tcBorders>
            <w:shd w:val="clear" w:color="auto" w:fill="auto"/>
            <w:vAlign w:val="center"/>
            <w:hideMark/>
          </w:tcPr>
          <w:p w:rsidR="00215037" w:rsidRPr="00142551" w:rsidRDefault="00215037" w:rsidP="008F1EEE">
            <w:pPr>
              <w:bidi w:val="0"/>
              <w:spacing w:after="0" w:line="240" w:lineRule="auto"/>
              <w:rPr>
                <w:rFonts w:eastAsia="Times New Roman" w:cs="Arial"/>
                <w:sz w:val="20"/>
                <w:szCs w:val="20"/>
              </w:rPr>
            </w:pPr>
            <w:r w:rsidRPr="00142551">
              <w:rPr>
                <w:rFonts w:eastAsia="Times New Roman" w:cs="Arial"/>
                <w:sz w:val="20"/>
                <w:szCs w:val="20"/>
              </w:rPr>
              <w:t xml:space="preserve">More than 10 </w:t>
            </w:r>
          </w:p>
        </w:tc>
        <w:tc>
          <w:tcPr>
            <w:tcW w:w="1531"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11</w:t>
            </w:r>
          </w:p>
        </w:tc>
        <w:tc>
          <w:tcPr>
            <w:tcW w:w="1337" w:type="dxa"/>
            <w:tcBorders>
              <w:top w:val="nil"/>
              <w:left w:val="nil"/>
              <w:bottom w:val="single" w:sz="8" w:space="0" w:color="auto"/>
              <w:right w:val="single" w:sz="8" w:space="0" w:color="auto"/>
            </w:tcBorders>
            <w:shd w:val="clear" w:color="auto" w:fill="auto"/>
            <w:noWrap/>
            <w:vAlign w:val="center"/>
            <w:hideMark/>
          </w:tcPr>
          <w:p w:rsidR="00215037" w:rsidRPr="00142551" w:rsidRDefault="00215037" w:rsidP="008F1EEE">
            <w:pPr>
              <w:bidi w:val="0"/>
              <w:spacing w:after="0" w:line="240" w:lineRule="auto"/>
              <w:jc w:val="center"/>
              <w:rPr>
                <w:rFonts w:eastAsia="Times New Roman" w:cs="Arial"/>
                <w:sz w:val="20"/>
                <w:szCs w:val="20"/>
              </w:rPr>
            </w:pPr>
            <w:r w:rsidRPr="00142551">
              <w:rPr>
                <w:rFonts w:eastAsia="Times New Roman" w:cs="Arial"/>
                <w:sz w:val="20"/>
                <w:szCs w:val="20"/>
              </w:rPr>
              <w:t>20%</w:t>
            </w:r>
          </w:p>
        </w:tc>
      </w:tr>
    </w:tbl>
    <w:p w:rsidR="00215037" w:rsidRPr="00BD3BE5" w:rsidRDefault="00215037" w:rsidP="008F1EEE">
      <w:pPr>
        <w:pStyle w:val="a3"/>
        <w:tabs>
          <w:tab w:val="left" w:pos="3972"/>
        </w:tabs>
        <w:spacing w:line="240" w:lineRule="auto"/>
        <w:ind w:left="0"/>
        <w:jc w:val="right"/>
        <w:rPr>
          <w:rFonts w:cs="Times New Roman"/>
          <w:b/>
          <w:bCs/>
          <w:lang w:bidi="ar-JO"/>
        </w:rPr>
      </w:pPr>
    </w:p>
    <w:p w:rsidR="00F36197" w:rsidRPr="00BD3BE5" w:rsidRDefault="00FD3735" w:rsidP="00DB6D44">
      <w:pPr>
        <w:pStyle w:val="a3"/>
        <w:tabs>
          <w:tab w:val="left" w:pos="3972"/>
        </w:tabs>
        <w:bidi w:val="0"/>
        <w:spacing w:line="240" w:lineRule="auto"/>
        <w:ind w:left="0"/>
        <w:jc w:val="both"/>
        <w:rPr>
          <w:rFonts w:eastAsia="Times New Roman" w:cs="Times New Roman"/>
          <w:lang w:bidi="ar-JO"/>
        </w:rPr>
      </w:pPr>
      <w:r w:rsidRPr="00BD3BE5">
        <w:rPr>
          <w:rFonts w:eastAsia="Times New Roman" w:cs="Times New Roman"/>
          <w:lang w:bidi="ar-JO"/>
        </w:rPr>
        <w:t xml:space="preserve">As shown </w:t>
      </w:r>
      <w:r w:rsidR="00DB6D44">
        <w:rPr>
          <w:rFonts w:eastAsia="Times New Roman" w:cs="Times New Roman"/>
          <w:lang w:bidi="ar-JO"/>
        </w:rPr>
        <w:t xml:space="preserve">in </w:t>
      </w:r>
      <w:r w:rsidRPr="00BD3BE5">
        <w:rPr>
          <w:rFonts w:eastAsia="Times New Roman" w:cs="Times New Roman"/>
          <w:lang w:bidi="ar-JO"/>
        </w:rPr>
        <w:t xml:space="preserve">the table </w:t>
      </w:r>
      <w:r w:rsidR="00DB6D44">
        <w:rPr>
          <w:rFonts w:eastAsia="Times New Roman" w:cs="Times New Roman"/>
          <w:lang w:bidi="ar-JO"/>
        </w:rPr>
        <w:t>(1)</w:t>
      </w:r>
      <w:r w:rsidRPr="00BD3BE5">
        <w:rPr>
          <w:rFonts w:eastAsia="Times New Roman" w:cs="Times New Roman"/>
          <w:lang w:bidi="ar-JO"/>
        </w:rPr>
        <w:t xml:space="preserve">, around 77% of respondents are working to companies that are existed since more than 10 years, while 23% of them from companies that of age between 5 to 10 </w:t>
      </w:r>
      <w:r w:rsidR="00F36197" w:rsidRPr="00BD3BE5">
        <w:rPr>
          <w:rFonts w:eastAsia="Times New Roman" w:cs="Times New Roman"/>
          <w:lang w:bidi="ar-JO"/>
        </w:rPr>
        <w:t>years, which</w:t>
      </w:r>
      <w:r w:rsidR="00DB6D44">
        <w:rPr>
          <w:rFonts w:eastAsia="Times New Roman" w:cs="Times New Roman"/>
          <w:lang w:bidi="ar-JO"/>
        </w:rPr>
        <w:t xml:space="preserve"> implies that most of </w:t>
      </w:r>
      <w:r w:rsidR="00460935">
        <w:rPr>
          <w:rFonts w:eastAsia="Times New Roman" w:cs="Times New Roman"/>
          <w:lang w:bidi="ar-JO"/>
        </w:rPr>
        <w:t>r</w:t>
      </w:r>
      <w:r w:rsidR="00460935" w:rsidRPr="00BD3BE5">
        <w:rPr>
          <w:rFonts w:eastAsia="Times New Roman" w:cs="Times New Roman"/>
          <w:lang w:bidi="ar-JO"/>
        </w:rPr>
        <w:t>esponses</w:t>
      </w:r>
      <w:r w:rsidR="00DB6D44">
        <w:rPr>
          <w:rFonts w:eastAsia="Times New Roman" w:cs="Times New Roman"/>
          <w:lang w:bidi="ar-JO"/>
        </w:rPr>
        <w:t xml:space="preserve"> came from an experienced companies</w:t>
      </w:r>
      <w:r w:rsidR="00FD0791" w:rsidRPr="00BD3BE5">
        <w:rPr>
          <w:rFonts w:eastAsia="Times New Roman" w:cs="Times New Roman"/>
          <w:lang w:bidi="ar-JO"/>
        </w:rPr>
        <w:t>.</w:t>
      </w:r>
      <w:r w:rsidR="00F36197" w:rsidRPr="00BD3BE5">
        <w:rPr>
          <w:rFonts w:eastAsia="Times New Roman" w:cs="Times New Roman"/>
          <w:lang w:bidi="ar-JO"/>
        </w:rPr>
        <w:t xml:space="preserve"> Regarding the companies from which the responses came</w:t>
      </w:r>
      <w:r w:rsidR="00DB6D44">
        <w:rPr>
          <w:rFonts w:eastAsia="Times New Roman" w:cs="Times New Roman"/>
          <w:lang w:bidi="ar-JO"/>
        </w:rPr>
        <w:t xml:space="preserve"> from</w:t>
      </w:r>
      <w:r w:rsidR="00F36197" w:rsidRPr="00BD3BE5">
        <w:rPr>
          <w:rFonts w:eastAsia="Times New Roman" w:cs="Times New Roman"/>
          <w:lang w:bidi="ar-JO"/>
        </w:rPr>
        <w:t>, a 36% a big size, 41% medium size while only 23% of them are small size companies, which implies that these companies have a proper accumulated knowledge that serve the purpose of this study,</w:t>
      </w:r>
      <w:r w:rsidR="00415E96" w:rsidRPr="00BD3BE5">
        <w:rPr>
          <w:rFonts w:eastAsia="Times New Roman" w:cs="Times New Roman"/>
          <w:lang w:bidi="ar-JO"/>
        </w:rPr>
        <w:t xml:space="preserve"> also all </w:t>
      </w:r>
      <w:r w:rsidR="00DB6D44" w:rsidRPr="00BD3BE5">
        <w:rPr>
          <w:rFonts w:eastAsia="Times New Roman" w:cs="Times New Roman"/>
          <w:lang w:bidi="ar-JO"/>
        </w:rPr>
        <w:t>of the</w:t>
      </w:r>
      <w:r w:rsidR="00415E96" w:rsidRPr="00BD3BE5">
        <w:rPr>
          <w:rFonts w:eastAsia="Times New Roman" w:cs="Times New Roman"/>
          <w:lang w:bidi="ar-JO"/>
        </w:rPr>
        <w:t xml:space="preserve"> respond</w:t>
      </w:r>
      <w:r w:rsidR="00DB6D44">
        <w:rPr>
          <w:rFonts w:eastAsia="Times New Roman" w:cs="Times New Roman"/>
          <w:lang w:bidi="ar-JO"/>
        </w:rPr>
        <w:t>ent</w:t>
      </w:r>
      <w:r w:rsidR="00415E96" w:rsidRPr="00BD3BE5">
        <w:rPr>
          <w:rFonts w:eastAsia="Times New Roman" w:cs="Times New Roman"/>
          <w:lang w:bidi="ar-JO"/>
        </w:rPr>
        <w:t xml:space="preserve">s came from companies who have </w:t>
      </w:r>
      <w:r w:rsidR="00DB6D44" w:rsidRPr="00BD3BE5">
        <w:rPr>
          <w:rFonts w:eastAsia="Times New Roman" w:cs="Times New Roman"/>
          <w:lang w:bidi="ar-JO"/>
        </w:rPr>
        <w:t>employees</w:t>
      </w:r>
      <w:r w:rsidR="00415E96" w:rsidRPr="00BD3BE5">
        <w:rPr>
          <w:rFonts w:eastAsia="Times New Roman" w:cs="Times New Roman"/>
          <w:lang w:bidi="ar-JO"/>
        </w:rPr>
        <w:t xml:space="preserve"> above 50 </w:t>
      </w:r>
      <w:r w:rsidR="00DB6D44" w:rsidRPr="00BD3BE5">
        <w:rPr>
          <w:rFonts w:eastAsia="Times New Roman" w:cs="Times New Roman"/>
          <w:lang w:bidi="ar-JO"/>
        </w:rPr>
        <w:t>employees</w:t>
      </w:r>
      <w:r w:rsidR="00415E96" w:rsidRPr="00BD3BE5">
        <w:rPr>
          <w:rFonts w:eastAsia="Times New Roman" w:cs="Times New Roman"/>
          <w:lang w:bidi="ar-JO"/>
        </w:rPr>
        <w:t>.</w:t>
      </w:r>
    </w:p>
    <w:p w:rsidR="00415E96" w:rsidRDefault="00737413" w:rsidP="008F1EEE">
      <w:pPr>
        <w:pStyle w:val="a3"/>
        <w:tabs>
          <w:tab w:val="left" w:pos="3972"/>
        </w:tabs>
        <w:bidi w:val="0"/>
        <w:spacing w:line="240" w:lineRule="auto"/>
        <w:ind w:left="0"/>
        <w:jc w:val="both"/>
        <w:rPr>
          <w:rFonts w:eastAsia="Times New Roman" w:cs="Times New Roman"/>
          <w:lang w:bidi="ar-JO"/>
        </w:rPr>
      </w:pPr>
      <w:r w:rsidRPr="00BD3BE5">
        <w:rPr>
          <w:rFonts w:eastAsia="Times New Roman" w:cs="Times New Roman"/>
          <w:lang w:bidi="ar-JO"/>
        </w:rPr>
        <w:t>63% of respondents companies have less than 5 branches and 63% of these companies have intermediates or brokers to help them in conducting the business.</w:t>
      </w:r>
    </w:p>
    <w:p w:rsidR="00DB6D44" w:rsidRPr="00BD3BE5" w:rsidRDefault="00DB6D44" w:rsidP="00DB6D44">
      <w:pPr>
        <w:pStyle w:val="a3"/>
        <w:tabs>
          <w:tab w:val="left" w:pos="3972"/>
        </w:tabs>
        <w:bidi w:val="0"/>
        <w:spacing w:line="240" w:lineRule="auto"/>
        <w:ind w:left="0"/>
        <w:jc w:val="both"/>
        <w:rPr>
          <w:rFonts w:eastAsia="Times New Roman" w:cs="Times New Roman"/>
          <w:lang w:bidi="ar-JO"/>
        </w:rPr>
      </w:pPr>
    </w:p>
    <w:p w:rsidR="00BD036D" w:rsidRPr="00BD3BE5" w:rsidRDefault="00D73F3B" w:rsidP="008F1EEE">
      <w:pPr>
        <w:pStyle w:val="a3"/>
        <w:tabs>
          <w:tab w:val="left" w:pos="3972"/>
        </w:tabs>
        <w:spacing w:line="240" w:lineRule="auto"/>
        <w:ind w:left="0"/>
        <w:jc w:val="right"/>
        <w:rPr>
          <w:rFonts w:cs="Times New Roman"/>
          <w:b/>
          <w:bCs/>
          <w:rtl/>
          <w:lang w:bidi="ar-JO"/>
        </w:rPr>
      </w:pPr>
      <w:r w:rsidRPr="00BD3BE5">
        <w:rPr>
          <w:rFonts w:eastAsia="Times New Roman" w:cs="Times New Roman"/>
          <w:b/>
          <w:bCs/>
        </w:rPr>
        <w:t>Stability of the study tool:</w:t>
      </w:r>
    </w:p>
    <w:p w:rsidR="00726F3D" w:rsidRPr="00BD3BE5" w:rsidRDefault="00726F3D" w:rsidP="008F1EEE">
      <w:pPr>
        <w:spacing w:line="240" w:lineRule="auto"/>
        <w:jc w:val="right"/>
        <w:rPr>
          <w:b/>
          <w:bCs/>
          <w:lang w:bidi="ar-JO"/>
        </w:rPr>
      </w:pPr>
    </w:p>
    <w:p w:rsidR="00025C62" w:rsidRPr="00BD3BE5" w:rsidRDefault="00025C62" w:rsidP="008F1EEE">
      <w:pPr>
        <w:bidi w:val="0"/>
        <w:spacing w:line="240" w:lineRule="auto"/>
        <w:jc w:val="center"/>
        <w:rPr>
          <w:rFonts w:eastAsia="Times New Roman" w:cs="Times New Roman"/>
        </w:rPr>
      </w:pPr>
      <w:r w:rsidRPr="00BD3BE5">
        <w:rPr>
          <w:rFonts w:eastAsia="Times New Roman" w:cs="Times New Roman"/>
        </w:rPr>
        <w:t>Table (2)</w:t>
      </w:r>
    </w:p>
    <w:p w:rsidR="00025C62" w:rsidRPr="00BD3BE5" w:rsidRDefault="00025C62" w:rsidP="008F1EEE">
      <w:pPr>
        <w:bidi w:val="0"/>
        <w:spacing w:line="240" w:lineRule="auto"/>
        <w:jc w:val="center"/>
        <w:rPr>
          <w:rFonts w:eastAsia="Batang" w:cs="Times New Roman"/>
          <w:lang w:bidi="ar-JO"/>
        </w:rPr>
      </w:pPr>
      <w:proofErr w:type="spellStart"/>
      <w:r w:rsidRPr="00BD3BE5">
        <w:rPr>
          <w:rFonts w:eastAsia="Times New Roman" w:cs="Times New Roman"/>
        </w:rPr>
        <w:t>Cronbach's</w:t>
      </w:r>
      <w:proofErr w:type="spellEnd"/>
      <w:r w:rsidRPr="00BD3BE5">
        <w:rPr>
          <w:rFonts w:eastAsia="Times New Roman" w:cs="Times New Roman"/>
        </w:rPr>
        <w:t xml:space="preserve"> alpha,</w:t>
      </w:r>
    </w:p>
    <w:tbl>
      <w:tblPr>
        <w:tblStyle w:val="a6"/>
        <w:tblW w:w="5159" w:type="dxa"/>
        <w:tblInd w:w="1458" w:type="dxa"/>
        <w:tblLook w:val="04A0" w:firstRow="1" w:lastRow="0" w:firstColumn="1" w:lastColumn="0" w:noHBand="0" w:noVBand="1"/>
      </w:tblPr>
      <w:tblGrid>
        <w:gridCol w:w="3277"/>
        <w:gridCol w:w="1882"/>
      </w:tblGrid>
      <w:tr w:rsidR="00BD3BE5" w:rsidRPr="00142551" w:rsidTr="00215037">
        <w:trPr>
          <w:trHeight w:val="129"/>
        </w:trPr>
        <w:tc>
          <w:tcPr>
            <w:tcW w:w="3277" w:type="dxa"/>
            <w:hideMark/>
          </w:tcPr>
          <w:p w:rsidR="00025C62" w:rsidRPr="00142551" w:rsidRDefault="00025C62" w:rsidP="008F1EEE">
            <w:pPr>
              <w:spacing w:after="0" w:line="240" w:lineRule="auto"/>
              <w:jc w:val="center"/>
              <w:rPr>
                <w:rFonts w:eastAsia="Times New Roman" w:cs="Times New Roman"/>
                <w:sz w:val="20"/>
                <w:szCs w:val="20"/>
                <w:rtl/>
                <w:lang w:bidi="ar-JO"/>
              </w:rPr>
            </w:pPr>
            <w:r w:rsidRPr="00142551">
              <w:rPr>
                <w:rFonts w:eastAsia="Times New Roman" w:cs="Times New Roman"/>
                <w:sz w:val="20"/>
                <w:szCs w:val="20"/>
                <w:lang w:bidi="ar-JO"/>
              </w:rPr>
              <w:t>Variable</w:t>
            </w:r>
          </w:p>
        </w:tc>
        <w:tc>
          <w:tcPr>
            <w:tcW w:w="1882" w:type="dxa"/>
            <w:hideMark/>
          </w:tcPr>
          <w:p w:rsidR="00025C62" w:rsidRPr="00142551" w:rsidRDefault="00025C62" w:rsidP="008F1EEE">
            <w:pPr>
              <w:bidi w:val="0"/>
              <w:spacing w:line="240" w:lineRule="auto"/>
              <w:jc w:val="center"/>
              <w:rPr>
                <w:rFonts w:eastAsia="Batang" w:cs="Times New Roman"/>
                <w:sz w:val="20"/>
                <w:szCs w:val="20"/>
                <w:rtl/>
                <w:lang w:bidi="ar-JO"/>
              </w:rPr>
            </w:pPr>
            <w:proofErr w:type="spellStart"/>
            <w:r w:rsidRPr="00142551">
              <w:rPr>
                <w:rFonts w:eastAsia="Times New Roman" w:cs="Times New Roman"/>
                <w:sz w:val="20"/>
                <w:szCs w:val="20"/>
              </w:rPr>
              <w:t>Cronbach's</w:t>
            </w:r>
            <w:proofErr w:type="spellEnd"/>
            <w:r w:rsidRPr="00142551">
              <w:rPr>
                <w:rFonts w:eastAsia="Times New Roman" w:cs="Times New Roman"/>
                <w:sz w:val="20"/>
                <w:szCs w:val="20"/>
              </w:rPr>
              <w:t xml:space="preserve"> alpha</w:t>
            </w:r>
          </w:p>
        </w:tc>
      </w:tr>
      <w:tr w:rsidR="00BD3BE5" w:rsidRPr="00142551" w:rsidTr="00215037">
        <w:trPr>
          <w:trHeight w:val="114"/>
        </w:trPr>
        <w:tc>
          <w:tcPr>
            <w:tcW w:w="3277" w:type="dxa"/>
            <w:hideMark/>
          </w:tcPr>
          <w:p w:rsidR="00025C62" w:rsidRPr="00142551" w:rsidRDefault="00025C62" w:rsidP="008F1EEE">
            <w:pPr>
              <w:spacing w:after="0" w:line="240" w:lineRule="auto"/>
              <w:jc w:val="right"/>
              <w:rPr>
                <w:rFonts w:eastAsia="Times New Roman" w:cs="Times New Roman"/>
                <w:sz w:val="20"/>
                <w:szCs w:val="20"/>
              </w:rPr>
            </w:pPr>
            <w:r w:rsidRPr="00142551">
              <w:rPr>
                <w:rFonts w:eastAsia="Times New Roman" w:cs="Times New Roman"/>
                <w:sz w:val="20"/>
                <w:szCs w:val="20"/>
                <w:lang w:bidi="ar-JO"/>
              </w:rPr>
              <w:t>Internal Factors</w:t>
            </w:r>
          </w:p>
        </w:tc>
        <w:tc>
          <w:tcPr>
            <w:tcW w:w="1882" w:type="dxa"/>
            <w:hideMark/>
          </w:tcPr>
          <w:p w:rsidR="00025C62" w:rsidRPr="00142551" w:rsidRDefault="00025C62" w:rsidP="008F1EEE">
            <w:pPr>
              <w:spacing w:after="0" w:line="240" w:lineRule="auto"/>
              <w:jc w:val="center"/>
              <w:rPr>
                <w:rFonts w:eastAsia="Times New Roman" w:cs="Times New Roman"/>
                <w:sz w:val="20"/>
                <w:szCs w:val="20"/>
                <w:rtl/>
                <w:lang w:bidi="ar-JO"/>
              </w:rPr>
            </w:pPr>
            <w:r w:rsidRPr="00142551">
              <w:rPr>
                <w:rFonts w:eastAsia="Times New Roman" w:cs="Times New Roman"/>
                <w:sz w:val="20"/>
                <w:szCs w:val="20"/>
                <w:rtl/>
                <w:lang w:bidi="ar-JO"/>
              </w:rPr>
              <w:t>0.76</w:t>
            </w:r>
          </w:p>
        </w:tc>
      </w:tr>
      <w:tr w:rsidR="00BD3BE5" w:rsidRPr="00142551" w:rsidTr="00215037">
        <w:trPr>
          <w:trHeight w:val="85"/>
        </w:trPr>
        <w:tc>
          <w:tcPr>
            <w:tcW w:w="3277" w:type="dxa"/>
            <w:hideMark/>
          </w:tcPr>
          <w:p w:rsidR="00025C62" w:rsidRPr="00142551" w:rsidRDefault="00025C62" w:rsidP="008F1EEE">
            <w:pPr>
              <w:spacing w:after="0" w:line="240" w:lineRule="auto"/>
              <w:jc w:val="right"/>
              <w:rPr>
                <w:rFonts w:eastAsia="Times New Roman" w:cs="Times New Roman"/>
                <w:sz w:val="20"/>
                <w:szCs w:val="20"/>
                <w:rtl/>
                <w:lang w:bidi="ar-JO"/>
              </w:rPr>
            </w:pPr>
            <w:r w:rsidRPr="00142551">
              <w:rPr>
                <w:rFonts w:eastAsia="Times New Roman" w:cs="Times New Roman"/>
                <w:sz w:val="20"/>
                <w:szCs w:val="20"/>
              </w:rPr>
              <w:t>Policyholders factors</w:t>
            </w:r>
          </w:p>
        </w:tc>
        <w:tc>
          <w:tcPr>
            <w:tcW w:w="1882" w:type="dxa"/>
            <w:hideMark/>
          </w:tcPr>
          <w:p w:rsidR="00025C62" w:rsidRPr="00142551" w:rsidRDefault="00025C62" w:rsidP="008F1EEE">
            <w:pPr>
              <w:spacing w:after="0" w:line="240" w:lineRule="auto"/>
              <w:jc w:val="center"/>
              <w:rPr>
                <w:rFonts w:eastAsia="Times New Roman" w:cs="Times New Roman"/>
                <w:sz w:val="20"/>
                <w:szCs w:val="20"/>
              </w:rPr>
            </w:pPr>
            <w:r w:rsidRPr="00142551">
              <w:rPr>
                <w:rFonts w:eastAsia="Times New Roman" w:cs="Times New Roman"/>
                <w:sz w:val="20"/>
                <w:szCs w:val="20"/>
                <w:rtl/>
                <w:lang w:bidi="ar-JO"/>
              </w:rPr>
              <w:t>0.72</w:t>
            </w:r>
          </w:p>
        </w:tc>
      </w:tr>
      <w:tr w:rsidR="00BD3BE5" w:rsidRPr="00142551" w:rsidTr="00215037">
        <w:trPr>
          <w:trHeight w:val="85"/>
        </w:trPr>
        <w:tc>
          <w:tcPr>
            <w:tcW w:w="3277" w:type="dxa"/>
            <w:noWrap/>
            <w:hideMark/>
          </w:tcPr>
          <w:p w:rsidR="00025C62" w:rsidRPr="00142551" w:rsidRDefault="00025C62" w:rsidP="008F1EEE">
            <w:pPr>
              <w:bidi w:val="0"/>
              <w:spacing w:after="0" w:line="240" w:lineRule="auto"/>
              <w:jc w:val="both"/>
              <w:rPr>
                <w:rFonts w:eastAsia="Times New Roman" w:cs="Times New Roman"/>
                <w:sz w:val="20"/>
                <w:szCs w:val="20"/>
              </w:rPr>
            </w:pPr>
            <w:r w:rsidRPr="00142551">
              <w:rPr>
                <w:rFonts w:eastAsia="Times New Roman" w:cs="Times New Roman"/>
                <w:sz w:val="20"/>
                <w:szCs w:val="20"/>
              </w:rPr>
              <w:lastRenderedPageBreak/>
              <w:t>Intermediates and brokers factors</w:t>
            </w:r>
          </w:p>
        </w:tc>
        <w:tc>
          <w:tcPr>
            <w:tcW w:w="1882" w:type="dxa"/>
            <w:hideMark/>
          </w:tcPr>
          <w:p w:rsidR="00025C62" w:rsidRPr="00142551" w:rsidRDefault="00025C62" w:rsidP="008F1EEE">
            <w:pPr>
              <w:spacing w:after="0" w:line="240" w:lineRule="auto"/>
              <w:jc w:val="center"/>
              <w:rPr>
                <w:rFonts w:eastAsia="Times New Roman" w:cs="Times New Roman"/>
                <w:sz w:val="20"/>
                <w:szCs w:val="20"/>
              </w:rPr>
            </w:pPr>
            <w:r w:rsidRPr="00142551">
              <w:rPr>
                <w:rFonts w:eastAsia="Times New Roman" w:cs="Times New Roman"/>
                <w:sz w:val="20"/>
                <w:szCs w:val="20"/>
                <w:rtl/>
                <w:lang w:bidi="ar-JO"/>
              </w:rPr>
              <w:t>0.69</w:t>
            </w:r>
          </w:p>
        </w:tc>
      </w:tr>
      <w:tr w:rsidR="00BD3BE5" w:rsidRPr="00142551" w:rsidTr="00215037">
        <w:trPr>
          <w:trHeight w:val="85"/>
        </w:trPr>
        <w:tc>
          <w:tcPr>
            <w:tcW w:w="3277" w:type="dxa"/>
            <w:noWrap/>
            <w:hideMark/>
          </w:tcPr>
          <w:p w:rsidR="00025C62" w:rsidRPr="00142551" w:rsidRDefault="00025C62" w:rsidP="008F1EEE">
            <w:pPr>
              <w:bidi w:val="0"/>
              <w:spacing w:after="0" w:line="240" w:lineRule="auto"/>
              <w:jc w:val="both"/>
              <w:rPr>
                <w:rFonts w:eastAsia="Times New Roman" w:cs="Times New Roman"/>
                <w:sz w:val="20"/>
                <w:szCs w:val="20"/>
              </w:rPr>
            </w:pPr>
            <w:r w:rsidRPr="00142551">
              <w:rPr>
                <w:rFonts w:eastAsia="Times New Roman" w:cs="Times New Roman"/>
                <w:sz w:val="20"/>
                <w:szCs w:val="20"/>
              </w:rPr>
              <w:t>complementary service providers</w:t>
            </w:r>
          </w:p>
        </w:tc>
        <w:tc>
          <w:tcPr>
            <w:tcW w:w="1882" w:type="dxa"/>
            <w:hideMark/>
          </w:tcPr>
          <w:p w:rsidR="00025C62" w:rsidRPr="00142551" w:rsidRDefault="00025C62" w:rsidP="008F1EEE">
            <w:pPr>
              <w:spacing w:after="0" w:line="240" w:lineRule="auto"/>
              <w:jc w:val="center"/>
              <w:rPr>
                <w:rFonts w:eastAsia="Times New Roman" w:cs="Times New Roman"/>
                <w:sz w:val="20"/>
                <w:szCs w:val="20"/>
              </w:rPr>
            </w:pPr>
            <w:r w:rsidRPr="00142551">
              <w:rPr>
                <w:rFonts w:eastAsia="Times New Roman" w:cs="Times New Roman"/>
                <w:sz w:val="20"/>
                <w:szCs w:val="20"/>
                <w:rtl/>
                <w:lang w:bidi="ar-JO"/>
              </w:rPr>
              <w:t>0.7</w:t>
            </w:r>
          </w:p>
        </w:tc>
      </w:tr>
    </w:tbl>
    <w:p w:rsidR="00025C62" w:rsidRPr="00BD3BE5" w:rsidRDefault="00025C62" w:rsidP="008F1EEE">
      <w:pPr>
        <w:spacing w:line="240" w:lineRule="auto"/>
        <w:rPr>
          <w:rFonts w:cs="Times New Roman"/>
          <w:rtl/>
          <w:lang w:bidi="ar-JO"/>
        </w:rPr>
      </w:pPr>
    </w:p>
    <w:p w:rsidR="00025C62" w:rsidRPr="00BD3BE5" w:rsidRDefault="00025C62" w:rsidP="008F1E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eastAsia="Times New Roman" w:cs="Times New Roman"/>
        </w:rPr>
      </w:pPr>
      <w:r w:rsidRPr="00BD3BE5">
        <w:rPr>
          <w:rFonts w:eastAsia="Times New Roman" w:cs="Times New Roman"/>
        </w:rPr>
        <w:t xml:space="preserve">To testing the stability of the </w:t>
      </w:r>
      <w:r w:rsidR="00D73F3B" w:rsidRPr="00BD3BE5">
        <w:rPr>
          <w:rFonts w:eastAsia="Times New Roman" w:cs="Times New Roman"/>
        </w:rPr>
        <w:t>study</w:t>
      </w:r>
      <w:r w:rsidRPr="00BD3BE5">
        <w:rPr>
          <w:rFonts w:eastAsia="Times New Roman" w:cs="Times New Roman"/>
        </w:rPr>
        <w:t xml:space="preserve"> tool, researchers used </w:t>
      </w:r>
      <w:proofErr w:type="spellStart"/>
      <w:r w:rsidRPr="00BD3BE5">
        <w:rPr>
          <w:rFonts w:eastAsia="Times New Roman" w:cs="Times New Roman"/>
        </w:rPr>
        <w:t>Cronbach's</w:t>
      </w:r>
      <w:proofErr w:type="spellEnd"/>
      <w:r w:rsidRPr="00BD3BE5">
        <w:rPr>
          <w:rFonts w:eastAsia="Times New Roman" w:cs="Times New Roman"/>
        </w:rPr>
        <w:t xml:space="preserve"> alpha, Table (2) shows that testing results and all alphas are greater than the value of 0.60 , This confirmed that the study tool is stable.</w:t>
      </w:r>
    </w:p>
    <w:p w:rsidR="00025C62" w:rsidRPr="00BD3BE5" w:rsidRDefault="00025C62" w:rsidP="008F1EEE">
      <w:pPr>
        <w:pStyle w:val="HTML"/>
        <w:shd w:val="clear" w:color="auto" w:fill="FFFFFF"/>
        <w:rPr>
          <w:rFonts w:asciiTheme="minorHAnsi" w:hAnsiTheme="minorHAnsi" w:cs="Times New Roman"/>
          <w:b/>
          <w:bCs/>
          <w:sz w:val="22"/>
          <w:szCs w:val="22"/>
        </w:rPr>
      </w:pPr>
      <w:r w:rsidRPr="00BD3BE5">
        <w:rPr>
          <w:rFonts w:asciiTheme="minorHAnsi" w:hAnsiTheme="minorHAnsi" w:cs="Times New Roman"/>
          <w:b/>
          <w:bCs/>
          <w:sz w:val="22"/>
          <w:szCs w:val="22"/>
        </w:rPr>
        <w:t>Hypotheses Testing:</w:t>
      </w:r>
    </w:p>
    <w:p w:rsidR="00025C62" w:rsidRPr="00BD3BE5" w:rsidRDefault="00025C62" w:rsidP="008F1E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eastAsia="Times New Roman" w:cs="Times New Roman"/>
          <w:rtl/>
        </w:rPr>
      </w:pPr>
    </w:p>
    <w:p w:rsidR="005E6FC7" w:rsidRPr="00BD3BE5" w:rsidRDefault="005E6FC7" w:rsidP="008F1EEE">
      <w:pPr>
        <w:bidi w:val="0"/>
        <w:spacing w:line="240" w:lineRule="auto"/>
        <w:rPr>
          <w:rFonts w:cs="Times New Roman"/>
          <w:b/>
          <w:bCs/>
        </w:rPr>
      </w:pPr>
      <w:r w:rsidRPr="00BD3BE5">
        <w:rPr>
          <w:rFonts w:cs="Times New Roman"/>
          <w:b/>
          <w:bCs/>
        </w:rPr>
        <w:t>The first hypothesis:</w:t>
      </w:r>
    </w:p>
    <w:p w:rsidR="005E6FC7" w:rsidRPr="00BD3BE5" w:rsidRDefault="005E6FC7" w:rsidP="008F1EEE">
      <w:pPr>
        <w:bidi w:val="0"/>
        <w:spacing w:line="240" w:lineRule="auto"/>
        <w:rPr>
          <w:rFonts w:cs="Times New Roman"/>
          <w:b/>
          <w:bCs/>
        </w:rPr>
      </w:pPr>
      <w:r w:rsidRPr="00BD3BE5">
        <w:rPr>
          <w:rFonts w:cs="Times New Roman"/>
          <w:b/>
          <w:bCs/>
        </w:rPr>
        <w:t xml:space="preserve">H1 </w:t>
      </w:r>
      <w:r w:rsidRPr="00BD3BE5">
        <w:rPr>
          <w:rFonts w:cs="Aparajita"/>
          <w:b/>
          <w:bCs/>
        </w:rPr>
        <w:t>Insurance companies have effective internal systems that able to detect and prevent of fraudulent practices</w:t>
      </w:r>
    </w:p>
    <w:p w:rsidR="00025C62" w:rsidRPr="00BD3BE5" w:rsidRDefault="00025C62" w:rsidP="008F1EEE">
      <w:pPr>
        <w:bidi w:val="0"/>
        <w:spacing w:line="240" w:lineRule="auto"/>
        <w:jc w:val="center"/>
        <w:rPr>
          <w:rFonts w:eastAsia="Times New Roman" w:cs="Times New Roman"/>
        </w:rPr>
      </w:pPr>
      <w:r w:rsidRPr="00BD3BE5">
        <w:rPr>
          <w:rFonts w:eastAsia="Times New Roman" w:cs="Times New Roman"/>
        </w:rPr>
        <w:t>Table (3)</w:t>
      </w:r>
    </w:p>
    <w:tbl>
      <w:tblPr>
        <w:tblStyle w:val="a6"/>
        <w:tblW w:w="5015" w:type="pct"/>
        <w:tblLook w:val="04A0" w:firstRow="1" w:lastRow="0" w:firstColumn="1" w:lastColumn="0" w:noHBand="0" w:noVBand="1"/>
      </w:tblPr>
      <w:tblGrid>
        <w:gridCol w:w="702"/>
        <w:gridCol w:w="4776"/>
        <w:gridCol w:w="1095"/>
        <w:gridCol w:w="1101"/>
        <w:gridCol w:w="1101"/>
        <w:gridCol w:w="830"/>
      </w:tblGrid>
      <w:tr w:rsidR="00BD3BE5" w:rsidRPr="00142551" w:rsidTr="00215037">
        <w:trPr>
          <w:trHeight w:val="320"/>
        </w:trPr>
        <w:tc>
          <w:tcPr>
            <w:tcW w:w="366"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No.</w:t>
            </w:r>
          </w:p>
        </w:tc>
        <w:tc>
          <w:tcPr>
            <w:tcW w:w="2485"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Statement</w:t>
            </w:r>
          </w:p>
        </w:tc>
        <w:tc>
          <w:tcPr>
            <w:tcW w:w="570"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Mean</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Std. Devi</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T- value</w:t>
            </w:r>
          </w:p>
        </w:tc>
        <w:tc>
          <w:tcPr>
            <w:tcW w:w="43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Sig.</w:t>
            </w:r>
          </w:p>
        </w:tc>
      </w:tr>
      <w:tr w:rsidR="00BD3BE5" w:rsidRPr="00142551" w:rsidTr="00215037">
        <w:trPr>
          <w:trHeight w:val="526"/>
        </w:trPr>
        <w:tc>
          <w:tcPr>
            <w:tcW w:w="366" w:type="pct"/>
            <w:vAlign w:val="center"/>
          </w:tcPr>
          <w:p w:rsidR="00025C62" w:rsidRPr="00142551" w:rsidRDefault="00025C62" w:rsidP="008F1EEE">
            <w:pPr>
              <w:spacing w:line="240" w:lineRule="auto"/>
              <w:jc w:val="both"/>
              <w:rPr>
                <w:rFonts w:eastAsia="Times New Roman" w:cs="Times New Roman"/>
                <w:sz w:val="20"/>
                <w:szCs w:val="20"/>
              </w:rPr>
            </w:pPr>
            <w:r w:rsidRPr="00142551">
              <w:rPr>
                <w:rFonts w:eastAsia="Times New Roman" w:cs="Times New Roman"/>
                <w:sz w:val="20"/>
                <w:szCs w:val="20"/>
              </w:rPr>
              <w:t>1.     </w:t>
            </w:r>
          </w:p>
        </w:tc>
        <w:tc>
          <w:tcPr>
            <w:tcW w:w="2485" w:type="pct"/>
            <w:vAlign w:val="center"/>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The  Company has a complicated organizational structure</w:t>
            </w:r>
          </w:p>
        </w:tc>
        <w:tc>
          <w:tcPr>
            <w:tcW w:w="570"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3.75</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0.98</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5.74</w:t>
            </w:r>
          </w:p>
        </w:tc>
        <w:tc>
          <w:tcPr>
            <w:tcW w:w="43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0.00</w:t>
            </w:r>
          </w:p>
        </w:tc>
      </w:tr>
      <w:tr w:rsidR="00BD3BE5" w:rsidRPr="00142551" w:rsidTr="00215037">
        <w:trPr>
          <w:trHeight w:val="538"/>
        </w:trPr>
        <w:tc>
          <w:tcPr>
            <w:tcW w:w="366" w:type="pct"/>
            <w:vAlign w:val="center"/>
          </w:tcPr>
          <w:p w:rsidR="00025C62" w:rsidRPr="00142551" w:rsidRDefault="00025C62" w:rsidP="008F1EEE">
            <w:pPr>
              <w:spacing w:line="240" w:lineRule="auto"/>
              <w:jc w:val="both"/>
              <w:rPr>
                <w:rFonts w:eastAsia="Times New Roman" w:cs="Times New Roman"/>
                <w:sz w:val="20"/>
                <w:szCs w:val="20"/>
              </w:rPr>
            </w:pPr>
            <w:r w:rsidRPr="00142551">
              <w:rPr>
                <w:rFonts w:eastAsia="Times New Roman" w:cs="Times New Roman"/>
                <w:sz w:val="20"/>
                <w:szCs w:val="20"/>
              </w:rPr>
              <w:t>2.     </w:t>
            </w:r>
          </w:p>
        </w:tc>
        <w:tc>
          <w:tcPr>
            <w:tcW w:w="2485" w:type="pct"/>
            <w:vAlign w:val="center"/>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The Company's organizational structure does not have an  separation of duties and responsibilities</w:t>
            </w:r>
          </w:p>
        </w:tc>
        <w:tc>
          <w:tcPr>
            <w:tcW w:w="570"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3.73</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0.90</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6.06</w:t>
            </w:r>
          </w:p>
        </w:tc>
        <w:tc>
          <w:tcPr>
            <w:tcW w:w="43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0.00</w:t>
            </w:r>
          </w:p>
        </w:tc>
      </w:tr>
      <w:tr w:rsidR="00BD3BE5" w:rsidRPr="00142551" w:rsidTr="00215037">
        <w:trPr>
          <w:trHeight w:val="526"/>
        </w:trPr>
        <w:tc>
          <w:tcPr>
            <w:tcW w:w="366" w:type="pct"/>
            <w:vAlign w:val="center"/>
          </w:tcPr>
          <w:p w:rsidR="00025C62" w:rsidRPr="00142551" w:rsidRDefault="00025C62" w:rsidP="008F1EEE">
            <w:pPr>
              <w:spacing w:line="240" w:lineRule="auto"/>
              <w:jc w:val="both"/>
              <w:rPr>
                <w:rFonts w:eastAsia="Times New Roman" w:cs="Times New Roman"/>
                <w:sz w:val="20"/>
                <w:szCs w:val="20"/>
              </w:rPr>
            </w:pPr>
            <w:r w:rsidRPr="00142551">
              <w:rPr>
                <w:rFonts w:eastAsia="Times New Roman" w:cs="Times New Roman"/>
                <w:sz w:val="20"/>
                <w:szCs w:val="20"/>
              </w:rPr>
              <w:t>3.     </w:t>
            </w:r>
          </w:p>
        </w:tc>
        <w:tc>
          <w:tcPr>
            <w:tcW w:w="2485" w:type="pct"/>
            <w:vAlign w:val="center"/>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The company does not have job description for its employees</w:t>
            </w:r>
          </w:p>
        </w:tc>
        <w:tc>
          <w:tcPr>
            <w:tcW w:w="570"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3.77</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0.93</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6.15</w:t>
            </w:r>
          </w:p>
        </w:tc>
        <w:tc>
          <w:tcPr>
            <w:tcW w:w="43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0.00</w:t>
            </w:r>
          </w:p>
        </w:tc>
      </w:tr>
      <w:tr w:rsidR="00BD3BE5" w:rsidRPr="00142551" w:rsidTr="00215037">
        <w:trPr>
          <w:trHeight w:val="526"/>
        </w:trPr>
        <w:tc>
          <w:tcPr>
            <w:tcW w:w="366" w:type="pct"/>
            <w:vAlign w:val="center"/>
          </w:tcPr>
          <w:p w:rsidR="00025C62" w:rsidRPr="00142551" w:rsidRDefault="00025C62" w:rsidP="008F1EEE">
            <w:pPr>
              <w:spacing w:line="240" w:lineRule="auto"/>
              <w:jc w:val="both"/>
              <w:rPr>
                <w:rFonts w:eastAsia="Times New Roman" w:cs="Times New Roman"/>
                <w:sz w:val="20"/>
                <w:szCs w:val="20"/>
              </w:rPr>
            </w:pPr>
            <w:r w:rsidRPr="00142551">
              <w:rPr>
                <w:rFonts w:eastAsia="Times New Roman" w:cs="Times New Roman"/>
                <w:sz w:val="20"/>
                <w:szCs w:val="20"/>
              </w:rPr>
              <w:t>4.     </w:t>
            </w:r>
          </w:p>
        </w:tc>
        <w:tc>
          <w:tcPr>
            <w:tcW w:w="2485" w:type="pct"/>
            <w:vAlign w:val="center"/>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The company does not respond to the rapid changes in the business environment .</w:t>
            </w:r>
          </w:p>
        </w:tc>
        <w:tc>
          <w:tcPr>
            <w:tcW w:w="570"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3.61</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1.04</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4.37</w:t>
            </w:r>
          </w:p>
        </w:tc>
        <w:tc>
          <w:tcPr>
            <w:tcW w:w="43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0.00</w:t>
            </w:r>
          </w:p>
        </w:tc>
      </w:tr>
      <w:tr w:rsidR="00BD3BE5" w:rsidRPr="00142551" w:rsidTr="00215037">
        <w:trPr>
          <w:trHeight w:val="332"/>
        </w:trPr>
        <w:tc>
          <w:tcPr>
            <w:tcW w:w="366" w:type="pct"/>
            <w:vAlign w:val="center"/>
          </w:tcPr>
          <w:p w:rsidR="00025C62" w:rsidRPr="00142551" w:rsidRDefault="00025C62" w:rsidP="008F1EEE">
            <w:pPr>
              <w:spacing w:line="240" w:lineRule="auto"/>
              <w:jc w:val="both"/>
              <w:rPr>
                <w:rFonts w:eastAsia="Times New Roman" w:cs="Times New Roman"/>
                <w:sz w:val="20"/>
                <w:szCs w:val="20"/>
              </w:rPr>
            </w:pPr>
            <w:r w:rsidRPr="00142551">
              <w:rPr>
                <w:rFonts w:eastAsia="Times New Roman" w:cs="Times New Roman"/>
                <w:sz w:val="20"/>
                <w:szCs w:val="20"/>
              </w:rPr>
              <w:t>5.     </w:t>
            </w:r>
          </w:p>
        </w:tc>
        <w:tc>
          <w:tcPr>
            <w:tcW w:w="2485"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The company does not develop new products.</w:t>
            </w:r>
          </w:p>
        </w:tc>
        <w:tc>
          <w:tcPr>
            <w:tcW w:w="570"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2.77</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0.71</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-2.44</w:t>
            </w:r>
          </w:p>
        </w:tc>
        <w:tc>
          <w:tcPr>
            <w:tcW w:w="43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0.02</w:t>
            </w:r>
          </w:p>
        </w:tc>
      </w:tr>
      <w:tr w:rsidR="00BD3BE5" w:rsidRPr="00142551" w:rsidTr="00215037">
        <w:trPr>
          <w:trHeight w:val="526"/>
        </w:trPr>
        <w:tc>
          <w:tcPr>
            <w:tcW w:w="366" w:type="pct"/>
            <w:vAlign w:val="center"/>
          </w:tcPr>
          <w:p w:rsidR="00025C62" w:rsidRPr="00142551" w:rsidRDefault="00025C62" w:rsidP="008F1EEE">
            <w:pPr>
              <w:spacing w:line="240" w:lineRule="auto"/>
              <w:jc w:val="both"/>
              <w:rPr>
                <w:rFonts w:eastAsia="Times New Roman" w:cs="Times New Roman"/>
                <w:sz w:val="20"/>
                <w:szCs w:val="20"/>
              </w:rPr>
            </w:pPr>
            <w:r w:rsidRPr="00142551">
              <w:rPr>
                <w:rFonts w:eastAsia="Times New Roman" w:cs="Times New Roman"/>
                <w:sz w:val="20"/>
                <w:szCs w:val="20"/>
              </w:rPr>
              <w:t>6.     </w:t>
            </w:r>
          </w:p>
        </w:tc>
        <w:tc>
          <w:tcPr>
            <w:tcW w:w="2485"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The company have a unsuitable technological infrastructure .</w:t>
            </w:r>
          </w:p>
        </w:tc>
        <w:tc>
          <w:tcPr>
            <w:tcW w:w="570"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2.75</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0.98</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-1.91</w:t>
            </w:r>
          </w:p>
        </w:tc>
        <w:tc>
          <w:tcPr>
            <w:tcW w:w="43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0.06</w:t>
            </w:r>
          </w:p>
        </w:tc>
      </w:tr>
      <w:tr w:rsidR="00BD3BE5" w:rsidRPr="00142551" w:rsidTr="00215037">
        <w:trPr>
          <w:trHeight w:val="526"/>
        </w:trPr>
        <w:tc>
          <w:tcPr>
            <w:tcW w:w="366" w:type="pct"/>
            <w:vAlign w:val="center"/>
          </w:tcPr>
          <w:p w:rsidR="00025C62" w:rsidRPr="00142551" w:rsidRDefault="00025C62" w:rsidP="008F1EEE">
            <w:pPr>
              <w:spacing w:line="240" w:lineRule="auto"/>
              <w:jc w:val="both"/>
              <w:rPr>
                <w:rFonts w:eastAsia="Times New Roman" w:cs="Times New Roman"/>
                <w:sz w:val="20"/>
                <w:szCs w:val="20"/>
              </w:rPr>
            </w:pPr>
            <w:r w:rsidRPr="00142551">
              <w:rPr>
                <w:rFonts w:eastAsia="Times New Roman" w:cs="Times New Roman"/>
                <w:sz w:val="20"/>
                <w:szCs w:val="20"/>
              </w:rPr>
              <w:t>7.     </w:t>
            </w:r>
          </w:p>
        </w:tc>
        <w:tc>
          <w:tcPr>
            <w:tcW w:w="2485"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The company's rewards and incentives system dissatisfy the needs of employees.</w:t>
            </w:r>
          </w:p>
        </w:tc>
        <w:tc>
          <w:tcPr>
            <w:tcW w:w="570"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2.89</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1.04</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-0.77</w:t>
            </w:r>
          </w:p>
        </w:tc>
        <w:tc>
          <w:tcPr>
            <w:tcW w:w="43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0.44</w:t>
            </w:r>
          </w:p>
        </w:tc>
      </w:tr>
      <w:tr w:rsidR="00BD3BE5" w:rsidRPr="00142551" w:rsidTr="00215037">
        <w:trPr>
          <w:trHeight w:val="332"/>
        </w:trPr>
        <w:tc>
          <w:tcPr>
            <w:tcW w:w="366" w:type="pct"/>
            <w:vAlign w:val="center"/>
          </w:tcPr>
          <w:p w:rsidR="00025C62" w:rsidRPr="00142551" w:rsidRDefault="00025C62" w:rsidP="008F1EEE">
            <w:pPr>
              <w:spacing w:line="240" w:lineRule="auto"/>
              <w:jc w:val="both"/>
              <w:rPr>
                <w:rFonts w:eastAsia="Times New Roman" w:cs="Times New Roman"/>
                <w:sz w:val="20"/>
                <w:szCs w:val="20"/>
              </w:rPr>
            </w:pPr>
            <w:r w:rsidRPr="00142551">
              <w:rPr>
                <w:rFonts w:eastAsia="Times New Roman" w:cs="Times New Roman"/>
                <w:sz w:val="20"/>
                <w:szCs w:val="20"/>
              </w:rPr>
              <w:t>8.     </w:t>
            </w:r>
          </w:p>
        </w:tc>
        <w:tc>
          <w:tcPr>
            <w:tcW w:w="2485"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 xml:space="preserve">company's operating performance are  unstable </w:t>
            </w:r>
          </w:p>
        </w:tc>
        <w:tc>
          <w:tcPr>
            <w:tcW w:w="570"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3.39</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1.14</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2.58</w:t>
            </w:r>
          </w:p>
        </w:tc>
        <w:tc>
          <w:tcPr>
            <w:tcW w:w="43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0.01</w:t>
            </w:r>
          </w:p>
        </w:tc>
      </w:tr>
      <w:tr w:rsidR="00BD3BE5" w:rsidRPr="00142551" w:rsidTr="00215037">
        <w:trPr>
          <w:trHeight w:val="526"/>
        </w:trPr>
        <w:tc>
          <w:tcPr>
            <w:tcW w:w="366" w:type="pct"/>
            <w:vAlign w:val="center"/>
          </w:tcPr>
          <w:p w:rsidR="00025C62" w:rsidRPr="00142551" w:rsidRDefault="00025C62" w:rsidP="008F1EEE">
            <w:pPr>
              <w:spacing w:line="240" w:lineRule="auto"/>
              <w:jc w:val="both"/>
              <w:rPr>
                <w:rFonts w:eastAsia="Times New Roman" w:cs="Times New Roman"/>
                <w:sz w:val="20"/>
                <w:szCs w:val="20"/>
              </w:rPr>
            </w:pPr>
            <w:r w:rsidRPr="00142551">
              <w:rPr>
                <w:rFonts w:eastAsia="Times New Roman" w:cs="Times New Roman"/>
                <w:sz w:val="20"/>
                <w:szCs w:val="20"/>
              </w:rPr>
              <w:t>9.     </w:t>
            </w:r>
          </w:p>
        </w:tc>
        <w:tc>
          <w:tcPr>
            <w:tcW w:w="2485"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The company has ineffective Internal control system .</w:t>
            </w:r>
          </w:p>
        </w:tc>
        <w:tc>
          <w:tcPr>
            <w:tcW w:w="570"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3.75</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0.98</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5.74</w:t>
            </w:r>
          </w:p>
        </w:tc>
        <w:tc>
          <w:tcPr>
            <w:tcW w:w="43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0.00</w:t>
            </w:r>
          </w:p>
        </w:tc>
      </w:tr>
      <w:tr w:rsidR="00BD3BE5" w:rsidRPr="00142551" w:rsidTr="00215037">
        <w:trPr>
          <w:trHeight w:val="526"/>
        </w:trPr>
        <w:tc>
          <w:tcPr>
            <w:tcW w:w="366" w:type="pct"/>
            <w:vAlign w:val="center"/>
          </w:tcPr>
          <w:p w:rsidR="00025C62" w:rsidRPr="00142551" w:rsidRDefault="00025C62" w:rsidP="008F1EEE">
            <w:pPr>
              <w:spacing w:line="240" w:lineRule="auto"/>
              <w:jc w:val="both"/>
              <w:rPr>
                <w:rFonts w:eastAsia="Times New Roman" w:cs="Times New Roman"/>
                <w:sz w:val="20"/>
                <w:szCs w:val="20"/>
                <w:rtl/>
              </w:rPr>
            </w:pPr>
            <w:r w:rsidRPr="00142551">
              <w:rPr>
                <w:rFonts w:eastAsia="Times New Roman" w:cs="Times New Roman"/>
                <w:sz w:val="20"/>
                <w:szCs w:val="20"/>
              </w:rPr>
              <w:t>10. </w:t>
            </w:r>
          </w:p>
        </w:tc>
        <w:tc>
          <w:tcPr>
            <w:tcW w:w="2485"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The company has a  centralized management system.</w:t>
            </w:r>
          </w:p>
        </w:tc>
        <w:tc>
          <w:tcPr>
            <w:tcW w:w="570"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3.36</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1.15</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2.32</w:t>
            </w:r>
          </w:p>
        </w:tc>
        <w:tc>
          <w:tcPr>
            <w:tcW w:w="43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0.02</w:t>
            </w:r>
          </w:p>
        </w:tc>
      </w:tr>
      <w:tr w:rsidR="00BD3BE5" w:rsidRPr="00142551" w:rsidTr="00215037">
        <w:trPr>
          <w:trHeight w:val="332"/>
        </w:trPr>
        <w:tc>
          <w:tcPr>
            <w:tcW w:w="366" w:type="pct"/>
            <w:vAlign w:val="center"/>
          </w:tcPr>
          <w:p w:rsidR="00025C62" w:rsidRPr="00142551" w:rsidRDefault="00025C62" w:rsidP="008F1EEE">
            <w:pPr>
              <w:spacing w:line="240" w:lineRule="auto"/>
              <w:jc w:val="both"/>
              <w:rPr>
                <w:rFonts w:eastAsia="Times New Roman" w:cs="Times New Roman"/>
                <w:sz w:val="20"/>
                <w:szCs w:val="20"/>
              </w:rPr>
            </w:pPr>
            <w:r w:rsidRPr="00142551">
              <w:rPr>
                <w:rFonts w:eastAsia="Times New Roman" w:cs="Times New Roman"/>
                <w:sz w:val="20"/>
                <w:szCs w:val="20"/>
              </w:rPr>
              <w:t>11. </w:t>
            </w:r>
          </w:p>
        </w:tc>
        <w:tc>
          <w:tcPr>
            <w:tcW w:w="2485"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 xml:space="preserve">The company have high ratio of staff </w:t>
            </w:r>
            <w:r w:rsidR="0079487E" w:rsidRPr="00142551">
              <w:rPr>
                <w:rFonts w:eastAsia="Times New Roman" w:cs="Times New Roman"/>
                <w:sz w:val="20"/>
                <w:szCs w:val="20"/>
              </w:rPr>
              <w:t>turnover.</w:t>
            </w:r>
          </w:p>
        </w:tc>
        <w:tc>
          <w:tcPr>
            <w:tcW w:w="570"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3.54</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1.17</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3.41</w:t>
            </w:r>
          </w:p>
        </w:tc>
        <w:tc>
          <w:tcPr>
            <w:tcW w:w="43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0.00</w:t>
            </w:r>
          </w:p>
        </w:tc>
      </w:tr>
      <w:tr w:rsidR="00BD3BE5" w:rsidRPr="00142551" w:rsidTr="00215037">
        <w:trPr>
          <w:trHeight w:val="332"/>
        </w:trPr>
        <w:tc>
          <w:tcPr>
            <w:tcW w:w="366" w:type="pct"/>
            <w:vAlign w:val="center"/>
          </w:tcPr>
          <w:p w:rsidR="00025C62" w:rsidRPr="00142551" w:rsidRDefault="00025C62" w:rsidP="008F1EEE">
            <w:pPr>
              <w:spacing w:line="240" w:lineRule="auto"/>
              <w:jc w:val="both"/>
              <w:rPr>
                <w:rFonts w:eastAsia="Times New Roman" w:cs="Times New Roman"/>
                <w:sz w:val="20"/>
                <w:szCs w:val="20"/>
              </w:rPr>
            </w:pPr>
            <w:r w:rsidRPr="00142551">
              <w:rPr>
                <w:rFonts w:eastAsia="Times New Roman" w:cs="Times New Roman"/>
                <w:sz w:val="20"/>
                <w:szCs w:val="20"/>
              </w:rPr>
              <w:t>12. </w:t>
            </w:r>
          </w:p>
        </w:tc>
        <w:tc>
          <w:tcPr>
            <w:tcW w:w="2485"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The company is  rarely  qualifying and training workers professionally and technically.</w:t>
            </w:r>
          </w:p>
        </w:tc>
        <w:tc>
          <w:tcPr>
            <w:tcW w:w="570"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3.66</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1.16</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4.25</w:t>
            </w:r>
          </w:p>
        </w:tc>
        <w:tc>
          <w:tcPr>
            <w:tcW w:w="43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0.00</w:t>
            </w:r>
          </w:p>
        </w:tc>
      </w:tr>
      <w:tr w:rsidR="00BD3BE5" w:rsidRPr="00142551" w:rsidTr="00215037">
        <w:trPr>
          <w:trHeight w:val="110"/>
        </w:trPr>
        <w:tc>
          <w:tcPr>
            <w:tcW w:w="366" w:type="pct"/>
            <w:vAlign w:val="center"/>
          </w:tcPr>
          <w:p w:rsidR="00025C62" w:rsidRPr="00142551" w:rsidRDefault="00025C62" w:rsidP="008F1EEE">
            <w:pPr>
              <w:spacing w:line="240" w:lineRule="auto"/>
              <w:jc w:val="both"/>
              <w:rPr>
                <w:rFonts w:eastAsia="Times New Roman" w:cs="Times New Roman"/>
                <w:sz w:val="20"/>
                <w:szCs w:val="20"/>
                <w:rtl/>
                <w:lang w:bidi="ar-JO"/>
              </w:rPr>
            </w:pPr>
            <w:r w:rsidRPr="00142551">
              <w:rPr>
                <w:rFonts w:eastAsia="Times New Roman" w:cs="Times New Roman"/>
                <w:sz w:val="20"/>
                <w:szCs w:val="20"/>
              </w:rPr>
              <w:t>13. </w:t>
            </w:r>
          </w:p>
        </w:tc>
        <w:tc>
          <w:tcPr>
            <w:tcW w:w="2485"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 xml:space="preserve">The company receive clients' problem but do not follow up </w:t>
            </w:r>
            <w:r w:rsidR="0079487E" w:rsidRPr="00142551">
              <w:rPr>
                <w:rFonts w:eastAsia="Times New Roman" w:cs="Times New Roman"/>
                <w:sz w:val="20"/>
                <w:szCs w:val="20"/>
              </w:rPr>
              <w:t>complain resolving</w:t>
            </w:r>
            <w:r w:rsidRPr="00142551">
              <w:rPr>
                <w:rFonts w:eastAsia="Times New Roman" w:cs="Times New Roman"/>
                <w:sz w:val="20"/>
                <w:szCs w:val="20"/>
              </w:rPr>
              <w:t>.</w:t>
            </w:r>
          </w:p>
        </w:tc>
        <w:tc>
          <w:tcPr>
            <w:tcW w:w="570" w:type="pct"/>
          </w:tcPr>
          <w:p w:rsidR="00025C62" w:rsidRPr="00142551" w:rsidRDefault="00025C62" w:rsidP="008F1EEE">
            <w:pPr>
              <w:bidi w:val="0"/>
              <w:spacing w:line="240" w:lineRule="auto"/>
              <w:rPr>
                <w:rFonts w:eastAsia="Times New Roman" w:cs="Times New Roman"/>
                <w:sz w:val="20"/>
                <w:szCs w:val="20"/>
              </w:rPr>
            </w:pPr>
            <w:r w:rsidRPr="00142551">
              <w:rPr>
                <w:rFonts w:eastAsia="Times New Roman" w:cs="Times New Roman"/>
                <w:sz w:val="20"/>
                <w:szCs w:val="20"/>
              </w:rPr>
              <w:t>3.70</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1.08</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4.84</w:t>
            </w:r>
          </w:p>
        </w:tc>
        <w:tc>
          <w:tcPr>
            <w:tcW w:w="43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0.00</w:t>
            </w:r>
          </w:p>
        </w:tc>
      </w:tr>
      <w:tr w:rsidR="00BD3BE5" w:rsidRPr="00142551" w:rsidTr="00215037">
        <w:trPr>
          <w:trHeight w:val="110"/>
        </w:trPr>
        <w:tc>
          <w:tcPr>
            <w:tcW w:w="2852" w:type="pct"/>
            <w:gridSpan w:val="2"/>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Total</w:t>
            </w:r>
          </w:p>
        </w:tc>
        <w:tc>
          <w:tcPr>
            <w:tcW w:w="570"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3.44</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0.63</w:t>
            </w:r>
          </w:p>
        </w:tc>
        <w:tc>
          <w:tcPr>
            <w:tcW w:w="57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5.15</w:t>
            </w:r>
          </w:p>
        </w:tc>
        <w:tc>
          <w:tcPr>
            <w:tcW w:w="433" w:type="pct"/>
          </w:tcPr>
          <w:p w:rsidR="00025C62" w:rsidRPr="00142551" w:rsidRDefault="00025C62" w:rsidP="008F1EEE">
            <w:pPr>
              <w:bidi w:val="0"/>
              <w:spacing w:line="240" w:lineRule="auto"/>
              <w:jc w:val="both"/>
              <w:rPr>
                <w:rFonts w:eastAsia="Times New Roman" w:cs="Times New Roman"/>
                <w:sz w:val="20"/>
                <w:szCs w:val="20"/>
              </w:rPr>
            </w:pPr>
            <w:r w:rsidRPr="00142551">
              <w:rPr>
                <w:rFonts w:eastAsia="Times New Roman" w:cs="Times New Roman"/>
                <w:sz w:val="20"/>
                <w:szCs w:val="20"/>
              </w:rPr>
              <w:t>0.00</w:t>
            </w:r>
          </w:p>
        </w:tc>
      </w:tr>
    </w:tbl>
    <w:p w:rsidR="00025C62" w:rsidRPr="00BD3BE5" w:rsidRDefault="00025C62" w:rsidP="008F1EEE">
      <w:pPr>
        <w:spacing w:line="240" w:lineRule="auto"/>
        <w:jc w:val="both"/>
        <w:rPr>
          <w:rFonts w:eastAsia="Times New Roman" w:cs="Times New Roman"/>
          <w:rtl/>
          <w:lang w:bidi="ar-JO"/>
        </w:rPr>
      </w:pPr>
    </w:p>
    <w:p w:rsidR="005E6FC7" w:rsidRPr="00BD3BE5" w:rsidRDefault="00025C62" w:rsidP="008F1EEE">
      <w:pPr>
        <w:bidi w:val="0"/>
        <w:spacing w:line="240" w:lineRule="auto"/>
        <w:jc w:val="both"/>
        <w:rPr>
          <w:rFonts w:eastAsia="Times New Roman" w:cs="Times New Roman"/>
        </w:rPr>
      </w:pPr>
      <w:r w:rsidRPr="00BD3BE5">
        <w:rPr>
          <w:rFonts w:eastAsia="Times New Roman" w:cs="Times New Roman"/>
        </w:rPr>
        <w:t>Testing of first hypothesis shows that there are internal factors in insurance companies that represent an indicators to fraud existence, Table (</w:t>
      </w:r>
      <w:r w:rsidRPr="00BD3BE5">
        <w:rPr>
          <w:rFonts w:eastAsia="Times New Roman" w:cs="Times New Roman"/>
          <w:rtl/>
        </w:rPr>
        <w:t>3</w:t>
      </w:r>
      <w:r w:rsidRPr="00BD3BE5">
        <w:rPr>
          <w:rFonts w:eastAsia="Times New Roman" w:cs="Times New Roman"/>
        </w:rPr>
        <w:t xml:space="preserve">) shows that with the an exception of the paragraphs 5, 6 and 7, </w:t>
      </w:r>
      <w:r w:rsidRPr="00BD3BE5">
        <w:rPr>
          <w:rFonts w:eastAsia="Times New Roman" w:cs="Times New Roman"/>
        </w:rPr>
        <w:lastRenderedPageBreak/>
        <w:t xml:space="preserve">the all other paragraphs got a mean greater than 3.00, with of significance level less than 0.05, While the paragraphs 5, 6 and 7 have a mean less than 3.00, and statistically insignificant. For all the paragraphs together, the mean was 3.44 and statistically significant with significance level at 0.00. In other word, there are internal factors in insurance companies that </w:t>
      </w:r>
      <w:r w:rsidR="00CF7100" w:rsidRPr="00BD3BE5">
        <w:rPr>
          <w:rFonts w:eastAsia="Times New Roman" w:cs="Times New Roman"/>
        </w:rPr>
        <w:t xml:space="preserve">Insurance companies do not have effective internal systems that able to detect and prevent of fraudulent practices , which means that there are </w:t>
      </w:r>
      <w:r w:rsidRPr="00BD3BE5">
        <w:rPr>
          <w:rFonts w:eastAsia="Times New Roman" w:cs="Times New Roman"/>
        </w:rPr>
        <w:t xml:space="preserve"> indicators </w:t>
      </w:r>
      <w:r w:rsidR="00CF7100" w:rsidRPr="00BD3BE5">
        <w:rPr>
          <w:rFonts w:eastAsia="Times New Roman" w:cs="Times New Roman"/>
        </w:rPr>
        <w:t>of</w:t>
      </w:r>
      <w:r w:rsidRPr="00BD3BE5">
        <w:rPr>
          <w:rFonts w:eastAsia="Times New Roman" w:cs="Times New Roman"/>
        </w:rPr>
        <w:t xml:space="preserve"> fraud existence </w:t>
      </w:r>
      <w:r w:rsidR="00CF7100" w:rsidRPr="00BD3BE5">
        <w:rPr>
          <w:rFonts w:eastAsia="Times New Roman" w:cs="Times New Roman"/>
        </w:rPr>
        <w:t xml:space="preserve"> in insurance companies ,</w:t>
      </w:r>
      <w:r w:rsidRPr="00BD3BE5">
        <w:rPr>
          <w:rFonts w:eastAsia="Times New Roman" w:cs="Times New Roman"/>
        </w:rPr>
        <w:t xml:space="preserve">therefor we reject the hypothesis H1 and accept he alternative one. </w:t>
      </w:r>
    </w:p>
    <w:p w:rsidR="005E6FC7" w:rsidRPr="00BD3BE5" w:rsidRDefault="005E6FC7" w:rsidP="008F1EEE">
      <w:pPr>
        <w:pStyle w:val="HTML"/>
        <w:shd w:val="clear" w:color="auto" w:fill="FFFFFF"/>
        <w:jc w:val="both"/>
        <w:rPr>
          <w:rFonts w:asciiTheme="minorHAnsi" w:hAnsiTheme="minorHAnsi" w:cs="Times New Roman"/>
          <w:b/>
          <w:bCs/>
          <w:sz w:val="22"/>
          <w:szCs w:val="22"/>
          <w:lang w:bidi="ar-JO"/>
        </w:rPr>
      </w:pPr>
    </w:p>
    <w:p w:rsidR="005E6FC7" w:rsidRPr="00BD3BE5" w:rsidRDefault="005E6FC7" w:rsidP="008F1EEE">
      <w:pPr>
        <w:pStyle w:val="HTML"/>
        <w:shd w:val="clear" w:color="auto" w:fill="FFFFFF"/>
        <w:jc w:val="both"/>
        <w:rPr>
          <w:rFonts w:asciiTheme="minorHAnsi" w:hAnsiTheme="minorHAnsi" w:cs="Times New Roman"/>
          <w:b/>
          <w:bCs/>
          <w:sz w:val="22"/>
          <w:szCs w:val="22"/>
          <w:lang w:bidi="ar-JO"/>
        </w:rPr>
      </w:pPr>
      <w:r w:rsidRPr="00BD3BE5">
        <w:rPr>
          <w:rFonts w:asciiTheme="minorHAnsi" w:hAnsiTheme="minorHAnsi" w:cs="Times New Roman"/>
          <w:b/>
          <w:bCs/>
          <w:sz w:val="22"/>
          <w:szCs w:val="22"/>
          <w:lang w:bidi="ar-JO"/>
        </w:rPr>
        <w:t xml:space="preserve"> The second hypothesis:</w:t>
      </w:r>
    </w:p>
    <w:p w:rsidR="005E6FC7" w:rsidRPr="00BD3BE5" w:rsidRDefault="005E6FC7" w:rsidP="008F1EEE">
      <w:pPr>
        <w:bidi w:val="0"/>
        <w:spacing w:line="240" w:lineRule="auto"/>
        <w:rPr>
          <w:rFonts w:cs="Times New Roman"/>
        </w:rPr>
      </w:pPr>
      <w:r w:rsidRPr="00BD3BE5">
        <w:rPr>
          <w:rFonts w:cs="Times New Roman"/>
        </w:rPr>
        <w:t xml:space="preserve">H2 </w:t>
      </w:r>
      <w:r w:rsidRPr="00BD3BE5">
        <w:rPr>
          <w:rFonts w:cs="Aparajita"/>
        </w:rPr>
        <w:t xml:space="preserve">Insurance companies </w:t>
      </w:r>
      <w:r w:rsidRPr="00BD3BE5">
        <w:rPr>
          <w:rFonts w:cs="Times New Roman"/>
        </w:rPr>
        <w:t>do not face any</w:t>
      </w:r>
      <w:r w:rsidRPr="00BD3BE5">
        <w:rPr>
          <w:rFonts w:cs="Aparajita"/>
        </w:rPr>
        <w:t xml:space="preserve"> fraudulent practices committed by Insured parties</w:t>
      </w:r>
      <w:r w:rsidRPr="00BD3BE5">
        <w:rPr>
          <w:rFonts w:cs="Times New Roman"/>
        </w:rPr>
        <w:t>.</w:t>
      </w:r>
    </w:p>
    <w:p w:rsidR="00025C62" w:rsidRPr="00BD3BE5" w:rsidRDefault="00025C62" w:rsidP="008F1EEE">
      <w:pPr>
        <w:bidi w:val="0"/>
        <w:spacing w:line="240" w:lineRule="auto"/>
        <w:jc w:val="center"/>
        <w:rPr>
          <w:rFonts w:cs="Times New Roman"/>
          <w:lang w:bidi="ar-JO"/>
        </w:rPr>
      </w:pPr>
      <w:r w:rsidRPr="00BD3BE5">
        <w:rPr>
          <w:rFonts w:cs="Times New Roman"/>
          <w:lang w:bidi="ar-JO"/>
        </w:rPr>
        <w:t>Table (4)</w:t>
      </w:r>
    </w:p>
    <w:tbl>
      <w:tblPr>
        <w:tblStyle w:val="a6"/>
        <w:tblW w:w="5000" w:type="pct"/>
        <w:tblLook w:val="04A0" w:firstRow="1" w:lastRow="0" w:firstColumn="1" w:lastColumn="0" w:noHBand="0" w:noVBand="1"/>
      </w:tblPr>
      <w:tblGrid>
        <w:gridCol w:w="712"/>
        <w:gridCol w:w="5251"/>
        <w:gridCol w:w="810"/>
        <w:gridCol w:w="1076"/>
        <w:gridCol w:w="902"/>
        <w:gridCol w:w="825"/>
      </w:tblGrid>
      <w:tr w:rsidR="00BD3BE5" w:rsidRPr="0031624B" w:rsidTr="00BA30C1">
        <w:tc>
          <w:tcPr>
            <w:tcW w:w="371" w:type="pct"/>
          </w:tcPr>
          <w:p w:rsidR="00025C62" w:rsidRPr="0031624B" w:rsidRDefault="00025C62" w:rsidP="008F1EEE">
            <w:pPr>
              <w:bidi w:val="0"/>
              <w:spacing w:line="240" w:lineRule="auto"/>
              <w:jc w:val="center"/>
              <w:rPr>
                <w:rFonts w:cs="Times New Roman"/>
                <w:sz w:val="20"/>
                <w:szCs w:val="20"/>
                <w:lang w:bidi="ar-JO"/>
              </w:rPr>
            </w:pPr>
            <w:r w:rsidRPr="0031624B">
              <w:rPr>
                <w:rFonts w:cs="Times New Roman"/>
                <w:sz w:val="20"/>
                <w:szCs w:val="20"/>
                <w:lang w:bidi="ar-JO"/>
              </w:rPr>
              <w:t>No.</w:t>
            </w:r>
          </w:p>
        </w:tc>
        <w:tc>
          <w:tcPr>
            <w:tcW w:w="2742" w:type="pct"/>
          </w:tcPr>
          <w:p w:rsidR="00025C62" w:rsidRPr="0031624B" w:rsidRDefault="00025C62" w:rsidP="008F1EEE">
            <w:pPr>
              <w:bidi w:val="0"/>
              <w:spacing w:line="240" w:lineRule="auto"/>
              <w:jc w:val="center"/>
              <w:rPr>
                <w:rFonts w:cs="Times New Roman"/>
                <w:sz w:val="20"/>
                <w:szCs w:val="20"/>
                <w:lang w:bidi="ar-JO"/>
              </w:rPr>
            </w:pPr>
            <w:r w:rsidRPr="0031624B">
              <w:rPr>
                <w:rFonts w:cs="Times New Roman"/>
                <w:sz w:val="20"/>
                <w:szCs w:val="20"/>
              </w:rPr>
              <w:t>Statement</w:t>
            </w:r>
          </w:p>
        </w:tc>
        <w:tc>
          <w:tcPr>
            <w:tcW w:w="423" w:type="pct"/>
          </w:tcPr>
          <w:p w:rsidR="00025C62" w:rsidRPr="0031624B" w:rsidRDefault="00025C62" w:rsidP="008F1EEE">
            <w:pPr>
              <w:bidi w:val="0"/>
              <w:spacing w:line="240" w:lineRule="auto"/>
              <w:jc w:val="both"/>
              <w:rPr>
                <w:rFonts w:cs="Times New Roman"/>
                <w:sz w:val="20"/>
                <w:szCs w:val="20"/>
                <w:lang w:bidi="ar-JO"/>
              </w:rPr>
            </w:pPr>
            <w:r w:rsidRPr="0031624B">
              <w:rPr>
                <w:rFonts w:cs="Times New Roman"/>
                <w:sz w:val="20"/>
                <w:szCs w:val="20"/>
              </w:rPr>
              <w:t>Mean</w:t>
            </w:r>
          </w:p>
        </w:tc>
        <w:tc>
          <w:tcPr>
            <w:tcW w:w="562" w:type="pct"/>
          </w:tcPr>
          <w:p w:rsidR="00025C62" w:rsidRPr="0031624B" w:rsidRDefault="00025C62" w:rsidP="008F1EEE">
            <w:pPr>
              <w:bidi w:val="0"/>
              <w:spacing w:line="240" w:lineRule="auto"/>
              <w:jc w:val="both"/>
              <w:rPr>
                <w:rFonts w:cs="Times New Roman"/>
                <w:sz w:val="20"/>
                <w:szCs w:val="20"/>
                <w:lang w:bidi="ar-JO"/>
              </w:rPr>
            </w:pPr>
            <w:r w:rsidRPr="0031624B">
              <w:rPr>
                <w:rFonts w:cs="Times New Roman"/>
                <w:sz w:val="20"/>
                <w:szCs w:val="20"/>
              </w:rPr>
              <w:t>Std. Devi</w:t>
            </w:r>
          </w:p>
        </w:tc>
        <w:tc>
          <w:tcPr>
            <w:tcW w:w="471" w:type="pct"/>
          </w:tcPr>
          <w:p w:rsidR="00025C62" w:rsidRPr="0031624B" w:rsidRDefault="00025C62" w:rsidP="008F1EEE">
            <w:pPr>
              <w:bidi w:val="0"/>
              <w:spacing w:line="240" w:lineRule="auto"/>
              <w:jc w:val="both"/>
              <w:rPr>
                <w:rFonts w:cs="Times New Roman"/>
                <w:sz w:val="20"/>
                <w:szCs w:val="20"/>
                <w:lang w:bidi="ar-JO"/>
              </w:rPr>
            </w:pPr>
            <w:r w:rsidRPr="0031624B">
              <w:rPr>
                <w:rFonts w:cs="Times New Roman"/>
                <w:sz w:val="20"/>
                <w:szCs w:val="20"/>
              </w:rPr>
              <w:t>T- value</w:t>
            </w:r>
          </w:p>
        </w:tc>
        <w:tc>
          <w:tcPr>
            <w:tcW w:w="431" w:type="pct"/>
          </w:tcPr>
          <w:p w:rsidR="00025C62" w:rsidRPr="0031624B" w:rsidRDefault="00025C62" w:rsidP="008F1EEE">
            <w:pPr>
              <w:bidi w:val="0"/>
              <w:spacing w:line="240" w:lineRule="auto"/>
              <w:jc w:val="both"/>
              <w:rPr>
                <w:rFonts w:cs="Times New Roman"/>
                <w:sz w:val="20"/>
                <w:szCs w:val="20"/>
                <w:lang w:bidi="ar-JO"/>
              </w:rPr>
            </w:pPr>
            <w:r w:rsidRPr="0031624B">
              <w:rPr>
                <w:rFonts w:cs="Times New Roman"/>
                <w:sz w:val="20"/>
                <w:szCs w:val="20"/>
              </w:rPr>
              <w:t>Sig.</w:t>
            </w:r>
          </w:p>
        </w:tc>
      </w:tr>
      <w:tr w:rsidR="00BD3BE5" w:rsidRPr="0031624B" w:rsidTr="00BA30C1">
        <w:tc>
          <w:tcPr>
            <w:tcW w:w="371" w:type="pct"/>
            <w:vAlign w:val="center"/>
          </w:tcPr>
          <w:p w:rsidR="00025C62" w:rsidRPr="0031624B" w:rsidRDefault="00025C62" w:rsidP="008F1EEE">
            <w:pPr>
              <w:spacing w:line="240" w:lineRule="auto"/>
              <w:jc w:val="center"/>
              <w:rPr>
                <w:rFonts w:eastAsia="Times New Roman" w:cs="Times New Roman"/>
                <w:sz w:val="20"/>
                <w:szCs w:val="20"/>
              </w:rPr>
            </w:pPr>
            <w:r w:rsidRPr="0031624B">
              <w:rPr>
                <w:rFonts w:eastAsia="Arial" w:cs="Times New Roman"/>
                <w:sz w:val="20"/>
                <w:szCs w:val="20"/>
              </w:rPr>
              <w:t>14.</w:t>
            </w:r>
          </w:p>
        </w:tc>
        <w:tc>
          <w:tcPr>
            <w:tcW w:w="2742"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 xml:space="preserve">The company rarely   reviews and </w:t>
            </w:r>
            <w:r w:rsidR="008B0145" w:rsidRPr="0031624B">
              <w:rPr>
                <w:rFonts w:cs="Times New Roman"/>
                <w:sz w:val="20"/>
                <w:szCs w:val="20"/>
              </w:rPr>
              <w:t>updates the</w:t>
            </w:r>
            <w:r w:rsidRPr="0031624B">
              <w:rPr>
                <w:rFonts w:cs="Times New Roman"/>
                <w:sz w:val="20"/>
                <w:szCs w:val="20"/>
              </w:rPr>
              <w:t xml:space="preserve"> contents and terms of  its insurance contracts.</w:t>
            </w:r>
          </w:p>
        </w:tc>
        <w:tc>
          <w:tcPr>
            <w:tcW w:w="423"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3.91</w:t>
            </w:r>
          </w:p>
        </w:tc>
        <w:tc>
          <w:tcPr>
            <w:tcW w:w="56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0.79</w:t>
            </w:r>
          </w:p>
        </w:tc>
        <w:tc>
          <w:tcPr>
            <w:tcW w:w="47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8.60</w:t>
            </w:r>
          </w:p>
        </w:tc>
        <w:tc>
          <w:tcPr>
            <w:tcW w:w="43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0.00</w:t>
            </w:r>
          </w:p>
        </w:tc>
      </w:tr>
      <w:tr w:rsidR="00BD3BE5" w:rsidRPr="0031624B" w:rsidTr="00BA30C1">
        <w:tc>
          <w:tcPr>
            <w:tcW w:w="371" w:type="pct"/>
            <w:vAlign w:val="center"/>
          </w:tcPr>
          <w:p w:rsidR="00025C62" w:rsidRPr="0031624B" w:rsidRDefault="00025C62" w:rsidP="008F1EEE">
            <w:pPr>
              <w:spacing w:line="240" w:lineRule="auto"/>
              <w:jc w:val="center"/>
              <w:rPr>
                <w:rFonts w:eastAsia="Times New Roman" w:cs="Times New Roman"/>
                <w:sz w:val="20"/>
                <w:szCs w:val="20"/>
              </w:rPr>
            </w:pPr>
            <w:r w:rsidRPr="0031624B">
              <w:rPr>
                <w:rFonts w:eastAsia="Arial" w:cs="Times New Roman"/>
                <w:sz w:val="20"/>
                <w:szCs w:val="20"/>
              </w:rPr>
              <w:t>15.</w:t>
            </w:r>
          </w:p>
        </w:tc>
        <w:tc>
          <w:tcPr>
            <w:tcW w:w="2742"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 xml:space="preserve">The company issues </w:t>
            </w:r>
            <w:r w:rsidR="008B0145" w:rsidRPr="0031624B">
              <w:rPr>
                <w:rFonts w:cs="Times New Roman"/>
                <w:sz w:val="20"/>
                <w:szCs w:val="20"/>
              </w:rPr>
              <w:t xml:space="preserve">an insurance policies but </w:t>
            </w:r>
            <w:r w:rsidR="0079487E" w:rsidRPr="0031624B">
              <w:rPr>
                <w:rFonts w:cs="Times New Roman"/>
                <w:sz w:val="20"/>
                <w:szCs w:val="20"/>
              </w:rPr>
              <w:t>incomplete</w:t>
            </w:r>
            <w:r w:rsidRPr="0031624B">
              <w:rPr>
                <w:rFonts w:cs="Times New Roman"/>
                <w:sz w:val="20"/>
                <w:szCs w:val="20"/>
              </w:rPr>
              <w:t xml:space="preserve"> with required items.</w:t>
            </w:r>
          </w:p>
        </w:tc>
        <w:tc>
          <w:tcPr>
            <w:tcW w:w="423"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4.07</w:t>
            </w:r>
          </w:p>
        </w:tc>
        <w:tc>
          <w:tcPr>
            <w:tcW w:w="56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0.83</w:t>
            </w:r>
          </w:p>
        </w:tc>
        <w:tc>
          <w:tcPr>
            <w:tcW w:w="47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9.68</w:t>
            </w:r>
          </w:p>
        </w:tc>
        <w:tc>
          <w:tcPr>
            <w:tcW w:w="43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0.00</w:t>
            </w:r>
          </w:p>
        </w:tc>
      </w:tr>
      <w:tr w:rsidR="00BD3BE5" w:rsidRPr="0031624B" w:rsidTr="00BA30C1">
        <w:tc>
          <w:tcPr>
            <w:tcW w:w="371" w:type="pct"/>
            <w:vAlign w:val="center"/>
          </w:tcPr>
          <w:p w:rsidR="00025C62" w:rsidRPr="0031624B" w:rsidRDefault="00025C62" w:rsidP="008F1EEE">
            <w:pPr>
              <w:spacing w:line="240" w:lineRule="auto"/>
              <w:jc w:val="center"/>
              <w:rPr>
                <w:rFonts w:eastAsia="Times New Roman" w:cs="Times New Roman"/>
                <w:sz w:val="20"/>
                <w:szCs w:val="20"/>
              </w:rPr>
            </w:pPr>
            <w:r w:rsidRPr="0031624B">
              <w:rPr>
                <w:rFonts w:eastAsia="Arial" w:cs="Times New Roman"/>
                <w:sz w:val="20"/>
                <w:szCs w:val="20"/>
              </w:rPr>
              <w:t>16.</w:t>
            </w:r>
          </w:p>
        </w:tc>
        <w:tc>
          <w:tcPr>
            <w:tcW w:w="2742" w:type="pct"/>
          </w:tcPr>
          <w:p w:rsidR="00025C62" w:rsidRPr="0031624B" w:rsidRDefault="00BA30C1" w:rsidP="008F1EEE">
            <w:pPr>
              <w:bidi w:val="0"/>
              <w:spacing w:line="240" w:lineRule="auto"/>
              <w:rPr>
                <w:rFonts w:cs="Times New Roman"/>
                <w:sz w:val="20"/>
                <w:szCs w:val="20"/>
              </w:rPr>
            </w:pPr>
            <w:r w:rsidRPr="0031624B">
              <w:rPr>
                <w:rFonts w:cs="Times New Roman"/>
                <w:sz w:val="20"/>
                <w:szCs w:val="20"/>
              </w:rPr>
              <w:t>Policyholders'</w:t>
            </w:r>
            <w:r w:rsidR="00025C62" w:rsidRPr="0031624B">
              <w:rPr>
                <w:rFonts w:cs="Times New Roman"/>
                <w:sz w:val="20"/>
                <w:szCs w:val="20"/>
              </w:rPr>
              <w:t xml:space="preserve"> claims always fake.</w:t>
            </w:r>
          </w:p>
        </w:tc>
        <w:tc>
          <w:tcPr>
            <w:tcW w:w="423"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4.02</w:t>
            </w:r>
          </w:p>
        </w:tc>
        <w:tc>
          <w:tcPr>
            <w:tcW w:w="56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0.86</w:t>
            </w:r>
          </w:p>
        </w:tc>
        <w:tc>
          <w:tcPr>
            <w:tcW w:w="47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8.82</w:t>
            </w:r>
          </w:p>
        </w:tc>
        <w:tc>
          <w:tcPr>
            <w:tcW w:w="43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0.00</w:t>
            </w:r>
          </w:p>
        </w:tc>
      </w:tr>
      <w:tr w:rsidR="00BD3BE5" w:rsidRPr="0031624B" w:rsidTr="00BA30C1">
        <w:tc>
          <w:tcPr>
            <w:tcW w:w="371" w:type="pct"/>
            <w:vAlign w:val="center"/>
          </w:tcPr>
          <w:p w:rsidR="00025C62" w:rsidRPr="0031624B" w:rsidRDefault="00025C62" w:rsidP="008F1EEE">
            <w:pPr>
              <w:spacing w:line="240" w:lineRule="auto"/>
              <w:jc w:val="center"/>
              <w:rPr>
                <w:rFonts w:eastAsia="Times New Roman" w:cs="Times New Roman"/>
                <w:sz w:val="20"/>
                <w:szCs w:val="20"/>
              </w:rPr>
            </w:pPr>
            <w:r w:rsidRPr="0031624B">
              <w:rPr>
                <w:rFonts w:eastAsia="Arial" w:cs="Times New Roman"/>
                <w:sz w:val="20"/>
                <w:szCs w:val="20"/>
              </w:rPr>
              <w:t>17.</w:t>
            </w:r>
          </w:p>
        </w:tc>
        <w:tc>
          <w:tcPr>
            <w:tcW w:w="2742"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 xml:space="preserve">Compensation paid to policyholders are  </w:t>
            </w:r>
            <w:r w:rsidR="00BA30C1" w:rsidRPr="0031624B">
              <w:rPr>
                <w:rFonts w:cs="Times New Roman"/>
                <w:sz w:val="20"/>
                <w:szCs w:val="20"/>
              </w:rPr>
              <w:t>un</w:t>
            </w:r>
            <w:r w:rsidRPr="0031624B">
              <w:rPr>
                <w:rFonts w:cs="Times New Roman"/>
                <w:sz w:val="20"/>
                <w:szCs w:val="20"/>
              </w:rPr>
              <w:t>expected values .</w:t>
            </w:r>
          </w:p>
        </w:tc>
        <w:tc>
          <w:tcPr>
            <w:tcW w:w="423"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3.93</w:t>
            </w:r>
          </w:p>
        </w:tc>
        <w:tc>
          <w:tcPr>
            <w:tcW w:w="56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0.81</w:t>
            </w:r>
          </w:p>
        </w:tc>
        <w:tc>
          <w:tcPr>
            <w:tcW w:w="47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8.62</w:t>
            </w:r>
          </w:p>
        </w:tc>
        <w:tc>
          <w:tcPr>
            <w:tcW w:w="43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0.00</w:t>
            </w:r>
          </w:p>
        </w:tc>
      </w:tr>
      <w:tr w:rsidR="00BD3BE5" w:rsidRPr="0031624B" w:rsidTr="00BA30C1">
        <w:tc>
          <w:tcPr>
            <w:tcW w:w="371" w:type="pct"/>
            <w:vAlign w:val="center"/>
          </w:tcPr>
          <w:p w:rsidR="00025C62" w:rsidRPr="0031624B" w:rsidRDefault="00025C62" w:rsidP="008F1EEE">
            <w:pPr>
              <w:spacing w:line="240" w:lineRule="auto"/>
              <w:jc w:val="center"/>
              <w:rPr>
                <w:rFonts w:eastAsia="Times New Roman" w:cs="Times New Roman"/>
                <w:sz w:val="20"/>
                <w:szCs w:val="20"/>
              </w:rPr>
            </w:pPr>
            <w:r w:rsidRPr="0031624B">
              <w:rPr>
                <w:rFonts w:eastAsia="Arial" w:cs="Times New Roman"/>
                <w:sz w:val="20"/>
                <w:szCs w:val="20"/>
              </w:rPr>
              <w:t>18.</w:t>
            </w:r>
          </w:p>
        </w:tc>
        <w:tc>
          <w:tcPr>
            <w:tcW w:w="2742"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The policyholders exaggerating the size of the claims.</w:t>
            </w:r>
          </w:p>
        </w:tc>
        <w:tc>
          <w:tcPr>
            <w:tcW w:w="423"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4.04</w:t>
            </w:r>
          </w:p>
        </w:tc>
        <w:tc>
          <w:tcPr>
            <w:tcW w:w="56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0.74</w:t>
            </w:r>
          </w:p>
        </w:tc>
        <w:tc>
          <w:tcPr>
            <w:tcW w:w="47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10.51</w:t>
            </w:r>
          </w:p>
        </w:tc>
        <w:tc>
          <w:tcPr>
            <w:tcW w:w="43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0.00</w:t>
            </w:r>
          </w:p>
        </w:tc>
      </w:tr>
      <w:tr w:rsidR="00BD3BE5" w:rsidRPr="0031624B" w:rsidTr="00BA30C1">
        <w:tc>
          <w:tcPr>
            <w:tcW w:w="371" w:type="pct"/>
            <w:vAlign w:val="center"/>
          </w:tcPr>
          <w:p w:rsidR="00025C62" w:rsidRPr="0031624B" w:rsidRDefault="00025C62" w:rsidP="008F1EEE">
            <w:pPr>
              <w:spacing w:line="240" w:lineRule="auto"/>
              <w:jc w:val="center"/>
              <w:rPr>
                <w:rFonts w:eastAsia="Times New Roman" w:cs="Times New Roman"/>
                <w:sz w:val="20"/>
                <w:szCs w:val="20"/>
              </w:rPr>
            </w:pPr>
            <w:r w:rsidRPr="0031624B">
              <w:rPr>
                <w:rFonts w:eastAsia="Arial" w:cs="Times New Roman"/>
                <w:sz w:val="20"/>
                <w:szCs w:val="20"/>
              </w:rPr>
              <w:t>19.</w:t>
            </w:r>
          </w:p>
        </w:tc>
        <w:tc>
          <w:tcPr>
            <w:tcW w:w="2742"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 xml:space="preserve">The </w:t>
            </w:r>
            <w:r w:rsidR="00BA30C1" w:rsidRPr="0031624B">
              <w:rPr>
                <w:rFonts w:cs="Times New Roman"/>
                <w:sz w:val="20"/>
                <w:szCs w:val="20"/>
              </w:rPr>
              <w:t>policyholders submit</w:t>
            </w:r>
            <w:r w:rsidRPr="0031624B">
              <w:rPr>
                <w:rFonts w:cs="Times New Roman"/>
                <w:sz w:val="20"/>
                <w:szCs w:val="20"/>
              </w:rPr>
              <w:t xml:space="preserve"> unreal claims.</w:t>
            </w:r>
          </w:p>
        </w:tc>
        <w:tc>
          <w:tcPr>
            <w:tcW w:w="423"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3.45</w:t>
            </w:r>
          </w:p>
        </w:tc>
        <w:tc>
          <w:tcPr>
            <w:tcW w:w="56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1.16</w:t>
            </w:r>
          </w:p>
        </w:tc>
        <w:tc>
          <w:tcPr>
            <w:tcW w:w="47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2.88</w:t>
            </w:r>
          </w:p>
        </w:tc>
        <w:tc>
          <w:tcPr>
            <w:tcW w:w="43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0.01</w:t>
            </w:r>
          </w:p>
        </w:tc>
      </w:tr>
      <w:tr w:rsidR="00BD3BE5" w:rsidRPr="0031624B" w:rsidTr="00BA30C1">
        <w:tc>
          <w:tcPr>
            <w:tcW w:w="371" w:type="pct"/>
            <w:vAlign w:val="center"/>
          </w:tcPr>
          <w:p w:rsidR="00025C62" w:rsidRPr="0031624B" w:rsidRDefault="00025C62" w:rsidP="008F1EEE">
            <w:pPr>
              <w:spacing w:line="240" w:lineRule="auto"/>
              <w:jc w:val="center"/>
              <w:rPr>
                <w:rFonts w:eastAsia="Times New Roman" w:cs="Times New Roman"/>
                <w:sz w:val="20"/>
                <w:szCs w:val="20"/>
              </w:rPr>
            </w:pPr>
            <w:r w:rsidRPr="0031624B">
              <w:rPr>
                <w:rFonts w:eastAsia="Arial" w:cs="Times New Roman"/>
                <w:sz w:val="20"/>
                <w:szCs w:val="20"/>
              </w:rPr>
              <w:t>20.</w:t>
            </w:r>
          </w:p>
        </w:tc>
        <w:tc>
          <w:tcPr>
            <w:tcW w:w="2742"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policyholders issues are resolved  through insurance experts</w:t>
            </w:r>
          </w:p>
        </w:tc>
        <w:tc>
          <w:tcPr>
            <w:tcW w:w="423"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3.82</w:t>
            </w:r>
          </w:p>
        </w:tc>
        <w:tc>
          <w:tcPr>
            <w:tcW w:w="56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0.94</w:t>
            </w:r>
          </w:p>
        </w:tc>
        <w:tc>
          <w:tcPr>
            <w:tcW w:w="47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6.57</w:t>
            </w:r>
          </w:p>
        </w:tc>
        <w:tc>
          <w:tcPr>
            <w:tcW w:w="43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0.00</w:t>
            </w:r>
          </w:p>
        </w:tc>
      </w:tr>
      <w:tr w:rsidR="00BD3BE5" w:rsidRPr="0031624B" w:rsidTr="00BA30C1">
        <w:tc>
          <w:tcPr>
            <w:tcW w:w="371" w:type="pct"/>
            <w:vAlign w:val="center"/>
          </w:tcPr>
          <w:p w:rsidR="00025C62" w:rsidRPr="0031624B" w:rsidRDefault="00025C62" w:rsidP="008F1EEE">
            <w:pPr>
              <w:spacing w:line="240" w:lineRule="auto"/>
              <w:jc w:val="center"/>
              <w:rPr>
                <w:rFonts w:eastAsia="Times New Roman" w:cs="Times New Roman"/>
                <w:sz w:val="20"/>
                <w:szCs w:val="20"/>
              </w:rPr>
            </w:pPr>
            <w:r w:rsidRPr="0031624B">
              <w:rPr>
                <w:rFonts w:eastAsia="Arial" w:cs="Times New Roman"/>
                <w:sz w:val="20"/>
                <w:szCs w:val="20"/>
              </w:rPr>
              <w:t>21.</w:t>
            </w:r>
          </w:p>
        </w:tc>
        <w:tc>
          <w:tcPr>
            <w:tcW w:w="2742"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Sometimes there is  experts' complicity  for the benefit of policyholders</w:t>
            </w:r>
          </w:p>
        </w:tc>
        <w:tc>
          <w:tcPr>
            <w:tcW w:w="423"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3.11</w:t>
            </w:r>
          </w:p>
        </w:tc>
        <w:tc>
          <w:tcPr>
            <w:tcW w:w="56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1.00</w:t>
            </w:r>
          </w:p>
        </w:tc>
        <w:tc>
          <w:tcPr>
            <w:tcW w:w="47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0.80</w:t>
            </w:r>
          </w:p>
        </w:tc>
        <w:tc>
          <w:tcPr>
            <w:tcW w:w="43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0.43</w:t>
            </w:r>
          </w:p>
        </w:tc>
      </w:tr>
      <w:tr w:rsidR="00BD3BE5" w:rsidRPr="0031624B" w:rsidTr="00BA30C1">
        <w:tc>
          <w:tcPr>
            <w:tcW w:w="371" w:type="pct"/>
            <w:vAlign w:val="center"/>
          </w:tcPr>
          <w:p w:rsidR="00025C62" w:rsidRPr="0031624B" w:rsidRDefault="00025C62" w:rsidP="008F1EEE">
            <w:pPr>
              <w:spacing w:line="240" w:lineRule="auto"/>
              <w:jc w:val="center"/>
              <w:rPr>
                <w:rFonts w:eastAsia="Times New Roman" w:cs="Times New Roman"/>
                <w:sz w:val="20"/>
                <w:szCs w:val="20"/>
              </w:rPr>
            </w:pPr>
            <w:r w:rsidRPr="0031624B">
              <w:rPr>
                <w:rFonts w:eastAsia="Arial" w:cs="Times New Roman"/>
                <w:sz w:val="20"/>
                <w:szCs w:val="20"/>
              </w:rPr>
              <w:t>22.</w:t>
            </w:r>
          </w:p>
        </w:tc>
        <w:tc>
          <w:tcPr>
            <w:tcW w:w="2742" w:type="pct"/>
          </w:tcPr>
          <w:p w:rsidR="00025C62" w:rsidRPr="0031624B" w:rsidRDefault="00DB6D44" w:rsidP="008F1EEE">
            <w:pPr>
              <w:bidi w:val="0"/>
              <w:spacing w:line="240" w:lineRule="auto"/>
              <w:rPr>
                <w:rFonts w:cs="Times New Roman"/>
                <w:sz w:val="20"/>
                <w:szCs w:val="20"/>
              </w:rPr>
            </w:pPr>
            <w:r w:rsidRPr="0031624B">
              <w:rPr>
                <w:rFonts w:cs="Times New Roman"/>
                <w:sz w:val="20"/>
                <w:szCs w:val="20"/>
              </w:rPr>
              <w:t xml:space="preserve">Policyholders </w:t>
            </w:r>
            <w:r w:rsidR="00025C62" w:rsidRPr="0031624B">
              <w:rPr>
                <w:rFonts w:cs="Times New Roman"/>
                <w:sz w:val="20"/>
                <w:szCs w:val="20"/>
              </w:rPr>
              <w:t>do</w:t>
            </w:r>
            <w:r w:rsidRPr="0031624B">
              <w:rPr>
                <w:rFonts w:cs="Times New Roman"/>
                <w:sz w:val="20"/>
                <w:szCs w:val="20"/>
              </w:rPr>
              <w:t xml:space="preserve"> not </w:t>
            </w:r>
            <w:r w:rsidR="00025C62" w:rsidRPr="0031624B">
              <w:rPr>
                <w:rFonts w:cs="Times New Roman"/>
                <w:sz w:val="20"/>
                <w:szCs w:val="20"/>
              </w:rPr>
              <w:t xml:space="preserve"> adhere to the deadlines specified in the insurance policy</w:t>
            </w:r>
          </w:p>
        </w:tc>
        <w:tc>
          <w:tcPr>
            <w:tcW w:w="423"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3.68</w:t>
            </w:r>
          </w:p>
        </w:tc>
        <w:tc>
          <w:tcPr>
            <w:tcW w:w="56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1.35</w:t>
            </w:r>
          </w:p>
        </w:tc>
        <w:tc>
          <w:tcPr>
            <w:tcW w:w="47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3.76</w:t>
            </w:r>
          </w:p>
        </w:tc>
        <w:tc>
          <w:tcPr>
            <w:tcW w:w="43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0.00</w:t>
            </w:r>
          </w:p>
        </w:tc>
      </w:tr>
      <w:tr w:rsidR="00BD3BE5" w:rsidRPr="0031624B" w:rsidTr="00BA30C1">
        <w:tc>
          <w:tcPr>
            <w:tcW w:w="371" w:type="pct"/>
            <w:vAlign w:val="center"/>
          </w:tcPr>
          <w:p w:rsidR="00025C62" w:rsidRPr="0031624B" w:rsidRDefault="00025C62" w:rsidP="008F1EEE">
            <w:pPr>
              <w:spacing w:line="240" w:lineRule="auto"/>
              <w:jc w:val="center"/>
              <w:rPr>
                <w:rFonts w:eastAsia="Times New Roman" w:cs="Times New Roman"/>
                <w:sz w:val="20"/>
                <w:szCs w:val="20"/>
                <w:rtl/>
                <w:lang w:bidi="ar-JO"/>
              </w:rPr>
            </w:pPr>
            <w:r w:rsidRPr="0031624B">
              <w:rPr>
                <w:rFonts w:eastAsia="Arial" w:cs="Times New Roman"/>
                <w:sz w:val="20"/>
                <w:szCs w:val="20"/>
              </w:rPr>
              <w:t>23.</w:t>
            </w:r>
          </w:p>
        </w:tc>
        <w:tc>
          <w:tcPr>
            <w:tcW w:w="2742"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 xml:space="preserve">There is a </w:t>
            </w:r>
            <w:r w:rsidR="0079487E" w:rsidRPr="0031624B">
              <w:rPr>
                <w:rFonts w:cs="Times New Roman"/>
                <w:sz w:val="20"/>
                <w:szCs w:val="20"/>
              </w:rPr>
              <w:t>fabricating case</w:t>
            </w:r>
            <w:r w:rsidRPr="0031624B">
              <w:rPr>
                <w:rFonts w:cs="Times New Roman"/>
                <w:sz w:val="20"/>
                <w:szCs w:val="20"/>
              </w:rPr>
              <w:t xml:space="preserve"> of accidents' occurrence.</w:t>
            </w:r>
          </w:p>
        </w:tc>
        <w:tc>
          <w:tcPr>
            <w:tcW w:w="423" w:type="pct"/>
          </w:tcPr>
          <w:p w:rsidR="00025C62" w:rsidRPr="0031624B" w:rsidRDefault="00025C62" w:rsidP="008F1EEE">
            <w:pPr>
              <w:bidi w:val="0"/>
              <w:spacing w:line="240" w:lineRule="auto"/>
              <w:rPr>
                <w:rFonts w:cs="Times New Roman"/>
                <w:sz w:val="20"/>
                <w:szCs w:val="20"/>
              </w:rPr>
            </w:pPr>
            <w:r w:rsidRPr="0031624B">
              <w:rPr>
                <w:rFonts w:cs="Times New Roman"/>
                <w:sz w:val="20"/>
                <w:szCs w:val="20"/>
              </w:rPr>
              <w:t>3.75</w:t>
            </w:r>
          </w:p>
        </w:tc>
        <w:tc>
          <w:tcPr>
            <w:tcW w:w="56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0.98</w:t>
            </w:r>
          </w:p>
        </w:tc>
        <w:tc>
          <w:tcPr>
            <w:tcW w:w="47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5.74</w:t>
            </w:r>
          </w:p>
        </w:tc>
        <w:tc>
          <w:tcPr>
            <w:tcW w:w="43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0.00</w:t>
            </w:r>
          </w:p>
        </w:tc>
      </w:tr>
      <w:tr w:rsidR="00BD3BE5" w:rsidRPr="0031624B" w:rsidTr="00BA30C1">
        <w:tc>
          <w:tcPr>
            <w:tcW w:w="3112" w:type="pct"/>
            <w:gridSpan w:val="2"/>
          </w:tcPr>
          <w:p w:rsidR="00025C62" w:rsidRPr="0031624B" w:rsidRDefault="00025C62" w:rsidP="008F1EEE">
            <w:pPr>
              <w:bidi w:val="0"/>
              <w:spacing w:line="240" w:lineRule="auto"/>
              <w:jc w:val="center"/>
              <w:rPr>
                <w:rFonts w:cs="Times New Roman"/>
                <w:sz w:val="20"/>
                <w:szCs w:val="20"/>
                <w:lang w:bidi="ar-JO"/>
              </w:rPr>
            </w:pPr>
            <w:r w:rsidRPr="0031624B">
              <w:rPr>
                <w:rFonts w:cs="Times New Roman"/>
                <w:sz w:val="20"/>
                <w:szCs w:val="20"/>
                <w:lang w:bidi="ar-JO"/>
              </w:rPr>
              <w:t>Total</w:t>
            </w:r>
          </w:p>
        </w:tc>
        <w:tc>
          <w:tcPr>
            <w:tcW w:w="42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3.78</w:t>
            </w:r>
          </w:p>
        </w:tc>
        <w:tc>
          <w:tcPr>
            <w:tcW w:w="56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0.47</w:t>
            </w:r>
          </w:p>
        </w:tc>
        <w:tc>
          <w:tcPr>
            <w:tcW w:w="47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12.37</w:t>
            </w:r>
          </w:p>
        </w:tc>
        <w:tc>
          <w:tcPr>
            <w:tcW w:w="431"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0.00</w:t>
            </w:r>
          </w:p>
        </w:tc>
      </w:tr>
    </w:tbl>
    <w:p w:rsidR="00215037" w:rsidRPr="00BD3BE5" w:rsidRDefault="00215037" w:rsidP="008F1EEE">
      <w:pPr>
        <w:bidi w:val="0"/>
        <w:spacing w:line="240" w:lineRule="auto"/>
        <w:jc w:val="both"/>
        <w:rPr>
          <w:rFonts w:eastAsia="Times New Roman" w:cs="Times New Roman"/>
        </w:rPr>
      </w:pPr>
    </w:p>
    <w:p w:rsidR="00025C62" w:rsidRPr="00BD3BE5" w:rsidRDefault="00025C62" w:rsidP="008F1EEE">
      <w:pPr>
        <w:bidi w:val="0"/>
        <w:spacing w:line="240" w:lineRule="auto"/>
        <w:jc w:val="both"/>
        <w:rPr>
          <w:rFonts w:eastAsia="Times New Roman" w:cs="Times New Roman"/>
        </w:rPr>
      </w:pPr>
      <w:r w:rsidRPr="00BD3BE5">
        <w:rPr>
          <w:rFonts w:eastAsia="Times New Roman" w:cs="Times New Roman"/>
        </w:rPr>
        <w:t>Testing the second hypothesis shows that there are factors related policyholders that represent indicators to fraud existence, from Table (4) with the exception of paragraph 21, all other paragraphs got  a mean greater than 3.00, and with significance levels less than 0.05, and considered as  statistically significant, while paragraph No. 21, despite it has a mean is greater than 3.00,  it has significance level greater than 0.05 is, so statistically insignificant.</w:t>
      </w:r>
    </w:p>
    <w:p w:rsidR="005E6FC7" w:rsidRPr="00BD3BE5" w:rsidRDefault="00025C62" w:rsidP="008F1EEE">
      <w:pPr>
        <w:bidi w:val="0"/>
        <w:spacing w:line="240" w:lineRule="auto"/>
        <w:jc w:val="both"/>
        <w:rPr>
          <w:rFonts w:eastAsia="Times New Roman" w:cs="Times New Roman"/>
        </w:rPr>
      </w:pPr>
      <w:r w:rsidRPr="00BD3BE5">
        <w:rPr>
          <w:rFonts w:eastAsia="Times New Roman" w:cs="Times New Roman"/>
        </w:rPr>
        <w:t>For all the paragraphs together, the mean was 3.78 with 0.00 significance level of which means its statistically significant. In other words, there are factors relating to policyholders that represent indicators to fraud existence, therefor we reject the hypothesis H2 and accept he alternative one</w:t>
      </w:r>
      <w:r w:rsidR="00CF7100" w:rsidRPr="00BD3BE5">
        <w:rPr>
          <w:rFonts w:eastAsia="Times New Roman" w:cs="Times New Roman"/>
        </w:rPr>
        <w:t xml:space="preserve"> which is the Insurance companies face fraudulent practices committed by Insured parties</w:t>
      </w:r>
      <w:r w:rsidRPr="00BD3BE5">
        <w:rPr>
          <w:rFonts w:eastAsia="Times New Roman" w:cs="Times New Roman"/>
        </w:rPr>
        <w:t xml:space="preserve">. </w:t>
      </w:r>
    </w:p>
    <w:p w:rsidR="009239B2" w:rsidRDefault="009239B2" w:rsidP="008F1EEE">
      <w:pPr>
        <w:pStyle w:val="HTML"/>
        <w:shd w:val="clear" w:color="auto" w:fill="FFFFFF"/>
        <w:jc w:val="both"/>
        <w:rPr>
          <w:rFonts w:asciiTheme="minorHAnsi" w:hAnsiTheme="minorHAnsi" w:cs="Aparajita"/>
          <w:sz w:val="22"/>
          <w:szCs w:val="22"/>
        </w:rPr>
      </w:pPr>
    </w:p>
    <w:p w:rsidR="009239B2" w:rsidRPr="00BD3BE5" w:rsidRDefault="009239B2" w:rsidP="008F1EEE">
      <w:pPr>
        <w:pStyle w:val="HTML"/>
        <w:shd w:val="clear" w:color="auto" w:fill="FFFFFF"/>
        <w:jc w:val="both"/>
        <w:rPr>
          <w:rFonts w:asciiTheme="minorHAnsi" w:hAnsiTheme="minorHAnsi" w:cs="Aparajita"/>
          <w:sz w:val="22"/>
          <w:szCs w:val="22"/>
        </w:rPr>
      </w:pPr>
    </w:p>
    <w:p w:rsidR="005E6FC7" w:rsidRPr="00BD3BE5" w:rsidRDefault="005E6FC7" w:rsidP="008F1EEE">
      <w:pPr>
        <w:pStyle w:val="HTML"/>
        <w:shd w:val="clear" w:color="auto" w:fill="FFFFFF"/>
        <w:jc w:val="both"/>
        <w:rPr>
          <w:rFonts w:asciiTheme="minorHAnsi" w:hAnsiTheme="minorHAnsi" w:cs="Times New Roman"/>
          <w:b/>
          <w:bCs/>
          <w:sz w:val="22"/>
          <w:szCs w:val="22"/>
        </w:rPr>
      </w:pPr>
      <w:r w:rsidRPr="00BD3BE5">
        <w:rPr>
          <w:rFonts w:asciiTheme="minorHAnsi" w:hAnsiTheme="minorHAnsi" w:cs="Times New Roman"/>
          <w:b/>
          <w:bCs/>
          <w:sz w:val="22"/>
          <w:szCs w:val="22"/>
        </w:rPr>
        <w:t>The third hypothesis:</w:t>
      </w:r>
    </w:p>
    <w:p w:rsidR="005E6FC7" w:rsidRPr="00BD3BE5" w:rsidRDefault="005E6FC7" w:rsidP="008F1EEE">
      <w:pPr>
        <w:tabs>
          <w:tab w:val="left" w:pos="8280"/>
          <w:tab w:val="left" w:pos="9090"/>
          <w:tab w:val="left" w:pos="9180"/>
        </w:tabs>
        <w:bidi w:val="0"/>
        <w:spacing w:line="240" w:lineRule="auto"/>
        <w:rPr>
          <w:rFonts w:cs="Aparajita"/>
        </w:rPr>
      </w:pPr>
      <w:r w:rsidRPr="00BD3BE5">
        <w:rPr>
          <w:rFonts w:cs="Times New Roman"/>
        </w:rPr>
        <w:t xml:space="preserve">H3 </w:t>
      </w:r>
      <w:r w:rsidRPr="00BD3BE5">
        <w:rPr>
          <w:rFonts w:cs="Aparajita"/>
        </w:rPr>
        <w:t xml:space="preserve">Insurance companies </w:t>
      </w:r>
      <w:r w:rsidRPr="00BD3BE5">
        <w:rPr>
          <w:rFonts w:cs="Times New Roman"/>
        </w:rPr>
        <w:t>do not face any</w:t>
      </w:r>
      <w:r w:rsidRPr="00BD3BE5">
        <w:rPr>
          <w:rFonts w:cs="Aparajita"/>
        </w:rPr>
        <w:t xml:space="preserve"> fraudulent practices committed by Insurance Intermediates or /and brokers.</w:t>
      </w:r>
    </w:p>
    <w:p w:rsidR="005E6FC7" w:rsidRPr="00BD3BE5" w:rsidRDefault="005E6FC7" w:rsidP="008F1EEE">
      <w:pPr>
        <w:pStyle w:val="a3"/>
        <w:tabs>
          <w:tab w:val="left" w:pos="8280"/>
          <w:tab w:val="left" w:pos="9090"/>
          <w:tab w:val="left" w:pos="9180"/>
        </w:tabs>
        <w:bidi w:val="0"/>
        <w:spacing w:line="240" w:lineRule="auto"/>
        <w:rPr>
          <w:rFonts w:cs="Aparajita"/>
        </w:rPr>
      </w:pPr>
    </w:p>
    <w:p w:rsidR="00025C62" w:rsidRPr="00BD3BE5" w:rsidRDefault="00025C62" w:rsidP="008F1EEE">
      <w:pPr>
        <w:pStyle w:val="HTML"/>
        <w:shd w:val="clear" w:color="auto" w:fill="FFFFFF"/>
        <w:jc w:val="center"/>
        <w:rPr>
          <w:rFonts w:asciiTheme="minorHAnsi" w:hAnsiTheme="minorHAnsi" w:cs="Times New Roman"/>
          <w:b/>
          <w:bCs/>
          <w:sz w:val="22"/>
          <w:szCs w:val="22"/>
          <w:lang w:bidi="ar-JO"/>
        </w:rPr>
      </w:pPr>
      <w:r w:rsidRPr="00BD3BE5">
        <w:rPr>
          <w:rFonts w:asciiTheme="minorHAnsi" w:hAnsiTheme="minorHAnsi" w:cs="Times New Roman"/>
          <w:b/>
          <w:bCs/>
          <w:sz w:val="22"/>
          <w:szCs w:val="22"/>
          <w:lang w:bidi="ar-JO"/>
        </w:rPr>
        <w:t>Table (5)</w:t>
      </w:r>
    </w:p>
    <w:tbl>
      <w:tblPr>
        <w:tblStyle w:val="a6"/>
        <w:tblW w:w="5030" w:type="pct"/>
        <w:tblLook w:val="04A0" w:firstRow="1" w:lastRow="0" w:firstColumn="1" w:lastColumn="0" w:noHBand="0" w:noVBand="1"/>
      </w:tblPr>
      <w:tblGrid>
        <w:gridCol w:w="704"/>
        <w:gridCol w:w="4791"/>
        <w:gridCol w:w="1098"/>
        <w:gridCol w:w="1104"/>
        <w:gridCol w:w="1104"/>
        <w:gridCol w:w="832"/>
      </w:tblGrid>
      <w:tr w:rsidR="00BD3BE5" w:rsidRPr="0031624B" w:rsidTr="004F1F72">
        <w:trPr>
          <w:trHeight w:val="436"/>
        </w:trPr>
        <w:tc>
          <w:tcPr>
            <w:tcW w:w="365" w:type="pct"/>
          </w:tcPr>
          <w:p w:rsidR="00025C62" w:rsidRPr="0031624B" w:rsidRDefault="00025C62" w:rsidP="008F1EEE">
            <w:pPr>
              <w:bidi w:val="0"/>
              <w:spacing w:line="240" w:lineRule="auto"/>
              <w:jc w:val="both"/>
              <w:rPr>
                <w:rFonts w:cs="Times New Roman"/>
                <w:sz w:val="20"/>
                <w:szCs w:val="20"/>
                <w:lang w:bidi="ar-JO"/>
              </w:rPr>
            </w:pPr>
            <w:r w:rsidRPr="0031624B">
              <w:rPr>
                <w:rFonts w:cs="Times New Roman"/>
                <w:sz w:val="20"/>
                <w:szCs w:val="20"/>
                <w:lang w:bidi="ar-JO"/>
              </w:rPr>
              <w:t>No.</w:t>
            </w:r>
          </w:p>
        </w:tc>
        <w:tc>
          <w:tcPr>
            <w:tcW w:w="2487" w:type="pct"/>
          </w:tcPr>
          <w:p w:rsidR="00025C62" w:rsidRPr="0031624B" w:rsidRDefault="00025C62" w:rsidP="008F1EEE">
            <w:pPr>
              <w:bidi w:val="0"/>
              <w:spacing w:line="240" w:lineRule="auto"/>
              <w:jc w:val="both"/>
              <w:rPr>
                <w:rFonts w:cs="Times New Roman"/>
                <w:sz w:val="20"/>
                <w:szCs w:val="20"/>
                <w:lang w:bidi="ar-JO"/>
              </w:rPr>
            </w:pPr>
            <w:r w:rsidRPr="0031624B">
              <w:rPr>
                <w:rFonts w:cs="Times New Roman"/>
                <w:sz w:val="20"/>
                <w:szCs w:val="20"/>
              </w:rPr>
              <w:t>Statement</w:t>
            </w:r>
          </w:p>
        </w:tc>
        <w:tc>
          <w:tcPr>
            <w:tcW w:w="570" w:type="pct"/>
          </w:tcPr>
          <w:p w:rsidR="00025C62" w:rsidRPr="0031624B" w:rsidRDefault="00025C62" w:rsidP="008F1EEE">
            <w:pPr>
              <w:bidi w:val="0"/>
              <w:spacing w:line="240" w:lineRule="auto"/>
              <w:jc w:val="both"/>
              <w:rPr>
                <w:rFonts w:cs="Times New Roman"/>
                <w:sz w:val="20"/>
                <w:szCs w:val="20"/>
                <w:lang w:bidi="ar-JO"/>
              </w:rPr>
            </w:pPr>
            <w:r w:rsidRPr="0031624B">
              <w:rPr>
                <w:rFonts w:cs="Times New Roman"/>
                <w:sz w:val="20"/>
                <w:szCs w:val="20"/>
              </w:rPr>
              <w:t>Mean</w:t>
            </w:r>
          </w:p>
        </w:tc>
        <w:tc>
          <w:tcPr>
            <w:tcW w:w="573" w:type="pct"/>
          </w:tcPr>
          <w:p w:rsidR="00025C62" w:rsidRPr="0031624B" w:rsidRDefault="00025C62" w:rsidP="008F1EEE">
            <w:pPr>
              <w:bidi w:val="0"/>
              <w:spacing w:line="240" w:lineRule="auto"/>
              <w:jc w:val="both"/>
              <w:rPr>
                <w:rFonts w:cs="Times New Roman"/>
                <w:sz w:val="20"/>
                <w:szCs w:val="20"/>
                <w:lang w:bidi="ar-JO"/>
              </w:rPr>
            </w:pPr>
            <w:r w:rsidRPr="0031624B">
              <w:rPr>
                <w:rFonts w:cs="Times New Roman"/>
                <w:sz w:val="20"/>
                <w:szCs w:val="20"/>
              </w:rPr>
              <w:t>Std. Devi</w:t>
            </w:r>
          </w:p>
        </w:tc>
        <w:tc>
          <w:tcPr>
            <w:tcW w:w="573" w:type="pct"/>
          </w:tcPr>
          <w:p w:rsidR="00025C62" w:rsidRPr="0031624B" w:rsidRDefault="00025C62" w:rsidP="008F1EEE">
            <w:pPr>
              <w:bidi w:val="0"/>
              <w:spacing w:line="240" w:lineRule="auto"/>
              <w:jc w:val="both"/>
              <w:rPr>
                <w:rFonts w:cs="Times New Roman"/>
                <w:sz w:val="20"/>
                <w:szCs w:val="20"/>
                <w:lang w:bidi="ar-JO"/>
              </w:rPr>
            </w:pPr>
            <w:r w:rsidRPr="0031624B">
              <w:rPr>
                <w:rFonts w:cs="Times New Roman"/>
                <w:sz w:val="20"/>
                <w:szCs w:val="20"/>
              </w:rPr>
              <w:t>T- value</w:t>
            </w:r>
          </w:p>
        </w:tc>
        <w:tc>
          <w:tcPr>
            <w:tcW w:w="432" w:type="pct"/>
          </w:tcPr>
          <w:p w:rsidR="00025C62" w:rsidRPr="0031624B" w:rsidRDefault="00025C62" w:rsidP="008F1EEE">
            <w:pPr>
              <w:bidi w:val="0"/>
              <w:spacing w:line="240" w:lineRule="auto"/>
              <w:jc w:val="both"/>
              <w:rPr>
                <w:rFonts w:cs="Times New Roman"/>
                <w:sz w:val="20"/>
                <w:szCs w:val="20"/>
                <w:lang w:bidi="ar-JO"/>
              </w:rPr>
            </w:pPr>
            <w:r w:rsidRPr="0031624B">
              <w:rPr>
                <w:rFonts w:cs="Times New Roman"/>
                <w:sz w:val="20"/>
                <w:szCs w:val="20"/>
              </w:rPr>
              <w:t>Sig.</w:t>
            </w:r>
          </w:p>
        </w:tc>
      </w:tr>
      <w:tr w:rsidR="00BD3BE5" w:rsidRPr="0031624B" w:rsidTr="004F1F72">
        <w:trPr>
          <w:trHeight w:val="698"/>
        </w:trPr>
        <w:tc>
          <w:tcPr>
            <w:tcW w:w="365" w:type="pct"/>
            <w:vAlign w:val="center"/>
          </w:tcPr>
          <w:p w:rsidR="00025C62" w:rsidRPr="0031624B" w:rsidRDefault="00025C62" w:rsidP="008F1EEE">
            <w:pPr>
              <w:spacing w:line="240" w:lineRule="auto"/>
              <w:jc w:val="both"/>
              <w:rPr>
                <w:rFonts w:eastAsia="Times New Roman" w:cs="Times New Roman"/>
                <w:sz w:val="20"/>
                <w:szCs w:val="20"/>
              </w:rPr>
            </w:pPr>
            <w:r w:rsidRPr="0031624B">
              <w:rPr>
                <w:rFonts w:eastAsia="Arial" w:cs="Times New Roman"/>
                <w:sz w:val="20"/>
                <w:szCs w:val="20"/>
              </w:rPr>
              <w:t>24. </w:t>
            </w:r>
          </w:p>
        </w:tc>
        <w:tc>
          <w:tcPr>
            <w:tcW w:w="2487" w:type="pct"/>
          </w:tcPr>
          <w:p w:rsidR="00025C62" w:rsidRPr="0031624B" w:rsidRDefault="0031624B" w:rsidP="008F1EEE">
            <w:pPr>
              <w:spacing w:line="240" w:lineRule="auto"/>
              <w:jc w:val="right"/>
              <w:rPr>
                <w:rFonts w:cs="Times New Roman"/>
                <w:sz w:val="20"/>
                <w:szCs w:val="20"/>
              </w:rPr>
            </w:pPr>
            <w:r w:rsidRPr="0031624B">
              <w:rPr>
                <w:rFonts w:cs="Times New Roman"/>
                <w:sz w:val="20"/>
                <w:szCs w:val="20"/>
              </w:rPr>
              <w:t>Most insurance</w:t>
            </w:r>
            <w:r w:rsidR="00025C62" w:rsidRPr="0031624B">
              <w:rPr>
                <w:rFonts w:cs="Times New Roman"/>
                <w:sz w:val="20"/>
                <w:szCs w:val="20"/>
              </w:rPr>
              <w:t xml:space="preserve"> services are offered through the company, agents and brokers.</w:t>
            </w:r>
          </w:p>
        </w:tc>
        <w:tc>
          <w:tcPr>
            <w:tcW w:w="570"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3.63</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1.09</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4.30</w:t>
            </w:r>
          </w:p>
        </w:tc>
        <w:tc>
          <w:tcPr>
            <w:tcW w:w="43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0.00</w:t>
            </w:r>
          </w:p>
        </w:tc>
      </w:tr>
      <w:tr w:rsidR="00BD3BE5" w:rsidRPr="0031624B" w:rsidTr="004F1F72">
        <w:trPr>
          <w:trHeight w:val="436"/>
        </w:trPr>
        <w:tc>
          <w:tcPr>
            <w:tcW w:w="365" w:type="pct"/>
            <w:vAlign w:val="center"/>
          </w:tcPr>
          <w:p w:rsidR="00025C62" w:rsidRPr="0031624B" w:rsidRDefault="00025C62" w:rsidP="008F1EEE">
            <w:pPr>
              <w:spacing w:line="240" w:lineRule="auto"/>
              <w:jc w:val="both"/>
              <w:rPr>
                <w:rFonts w:eastAsia="Times New Roman" w:cs="Times New Roman"/>
                <w:sz w:val="20"/>
                <w:szCs w:val="20"/>
              </w:rPr>
            </w:pPr>
            <w:r w:rsidRPr="0031624B">
              <w:rPr>
                <w:rFonts w:eastAsia="Arial" w:cs="Times New Roman"/>
                <w:sz w:val="20"/>
                <w:szCs w:val="20"/>
              </w:rPr>
              <w:t>25. </w:t>
            </w:r>
          </w:p>
        </w:tc>
        <w:tc>
          <w:tcPr>
            <w:tcW w:w="2487" w:type="pct"/>
          </w:tcPr>
          <w:p w:rsidR="00025C62" w:rsidRPr="0031624B" w:rsidRDefault="00025C62" w:rsidP="008F1EEE">
            <w:pPr>
              <w:spacing w:line="240" w:lineRule="auto"/>
              <w:jc w:val="right"/>
              <w:rPr>
                <w:rFonts w:cs="Times New Roman"/>
                <w:sz w:val="20"/>
                <w:szCs w:val="20"/>
              </w:rPr>
            </w:pPr>
            <w:r w:rsidRPr="0031624B">
              <w:rPr>
                <w:rFonts w:cs="Times New Roman"/>
                <w:sz w:val="20"/>
                <w:szCs w:val="20"/>
              </w:rPr>
              <w:t>Brokers keep records containing the names of the clients.</w:t>
            </w:r>
          </w:p>
        </w:tc>
        <w:tc>
          <w:tcPr>
            <w:tcW w:w="570"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2.89</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1.00</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-0.80</w:t>
            </w:r>
          </w:p>
        </w:tc>
        <w:tc>
          <w:tcPr>
            <w:tcW w:w="43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0.43</w:t>
            </w:r>
          </w:p>
        </w:tc>
      </w:tr>
      <w:tr w:rsidR="00BD3BE5" w:rsidRPr="0031624B" w:rsidTr="004F1F72">
        <w:trPr>
          <w:trHeight w:val="681"/>
        </w:trPr>
        <w:tc>
          <w:tcPr>
            <w:tcW w:w="365" w:type="pct"/>
            <w:vAlign w:val="center"/>
          </w:tcPr>
          <w:p w:rsidR="00025C62" w:rsidRPr="0031624B" w:rsidRDefault="00025C62" w:rsidP="008F1EEE">
            <w:pPr>
              <w:spacing w:line="240" w:lineRule="auto"/>
              <w:jc w:val="both"/>
              <w:rPr>
                <w:rFonts w:eastAsia="Times New Roman" w:cs="Times New Roman"/>
                <w:sz w:val="20"/>
                <w:szCs w:val="20"/>
              </w:rPr>
            </w:pPr>
            <w:r w:rsidRPr="0031624B">
              <w:rPr>
                <w:rFonts w:eastAsia="Arial" w:cs="Times New Roman"/>
                <w:sz w:val="20"/>
                <w:szCs w:val="20"/>
              </w:rPr>
              <w:t>26. </w:t>
            </w:r>
          </w:p>
        </w:tc>
        <w:tc>
          <w:tcPr>
            <w:tcW w:w="2487" w:type="pct"/>
          </w:tcPr>
          <w:p w:rsidR="00025C62" w:rsidRPr="0031624B" w:rsidRDefault="00025C62" w:rsidP="008F1EEE">
            <w:pPr>
              <w:spacing w:line="240" w:lineRule="auto"/>
              <w:jc w:val="right"/>
              <w:rPr>
                <w:rFonts w:cs="Times New Roman"/>
                <w:sz w:val="20"/>
                <w:szCs w:val="20"/>
              </w:rPr>
            </w:pPr>
            <w:r w:rsidRPr="0031624B">
              <w:rPr>
                <w:rFonts w:cs="Times New Roman"/>
                <w:sz w:val="20"/>
                <w:szCs w:val="20"/>
              </w:rPr>
              <w:t>agents and brokers  receive premiums and  issuing fake documents.</w:t>
            </w:r>
          </w:p>
        </w:tc>
        <w:tc>
          <w:tcPr>
            <w:tcW w:w="570"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3.75</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1.21</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4.64</w:t>
            </w:r>
          </w:p>
        </w:tc>
        <w:tc>
          <w:tcPr>
            <w:tcW w:w="43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0.00</w:t>
            </w:r>
          </w:p>
        </w:tc>
      </w:tr>
      <w:tr w:rsidR="00BD3BE5" w:rsidRPr="0031624B" w:rsidTr="004F1F72">
        <w:trPr>
          <w:trHeight w:val="698"/>
        </w:trPr>
        <w:tc>
          <w:tcPr>
            <w:tcW w:w="365" w:type="pct"/>
            <w:vAlign w:val="center"/>
          </w:tcPr>
          <w:p w:rsidR="00025C62" w:rsidRPr="0031624B" w:rsidRDefault="00025C62" w:rsidP="008F1EEE">
            <w:pPr>
              <w:spacing w:line="240" w:lineRule="auto"/>
              <w:jc w:val="both"/>
              <w:rPr>
                <w:rFonts w:eastAsia="Times New Roman" w:cs="Times New Roman"/>
                <w:sz w:val="20"/>
                <w:szCs w:val="20"/>
              </w:rPr>
            </w:pPr>
            <w:r w:rsidRPr="0031624B">
              <w:rPr>
                <w:rFonts w:eastAsia="Arial" w:cs="Times New Roman"/>
                <w:sz w:val="20"/>
                <w:szCs w:val="20"/>
              </w:rPr>
              <w:t>27. </w:t>
            </w:r>
          </w:p>
        </w:tc>
        <w:tc>
          <w:tcPr>
            <w:tcW w:w="2487" w:type="pct"/>
          </w:tcPr>
          <w:p w:rsidR="00025C62" w:rsidRPr="0031624B" w:rsidRDefault="00025C62" w:rsidP="008F1EEE">
            <w:pPr>
              <w:spacing w:line="240" w:lineRule="auto"/>
              <w:jc w:val="right"/>
              <w:rPr>
                <w:rFonts w:cs="Times New Roman"/>
                <w:sz w:val="20"/>
                <w:szCs w:val="20"/>
              </w:rPr>
            </w:pPr>
            <w:r w:rsidRPr="0031624B">
              <w:rPr>
                <w:rFonts w:cs="Times New Roman"/>
                <w:sz w:val="20"/>
                <w:szCs w:val="20"/>
              </w:rPr>
              <w:t xml:space="preserve">The company use large </w:t>
            </w:r>
            <w:r w:rsidR="0079487E" w:rsidRPr="0031624B">
              <w:rPr>
                <w:rFonts w:cs="Times New Roman"/>
                <w:sz w:val="20"/>
                <w:szCs w:val="20"/>
              </w:rPr>
              <w:t>number of</w:t>
            </w:r>
            <w:r w:rsidRPr="0031624B">
              <w:rPr>
                <w:rFonts w:cs="Times New Roman"/>
                <w:sz w:val="20"/>
                <w:szCs w:val="20"/>
              </w:rPr>
              <w:t xml:space="preserve"> agents and brokers in providing insurance services.</w:t>
            </w:r>
          </w:p>
        </w:tc>
        <w:tc>
          <w:tcPr>
            <w:tcW w:w="570"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3.32</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1.31</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1.84</w:t>
            </w:r>
          </w:p>
        </w:tc>
        <w:tc>
          <w:tcPr>
            <w:tcW w:w="43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0.07</w:t>
            </w:r>
          </w:p>
        </w:tc>
      </w:tr>
      <w:tr w:rsidR="00BD3BE5" w:rsidRPr="0031624B" w:rsidTr="004F1F72">
        <w:trPr>
          <w:trHeight w:val="698"/>
        </w:trPr>
        <w:tc>
          <w:tcPr>
            <w:tcW w:w="365" w:type="pct"/>
            <w:vAlign w:val="center"/>
          </w:tcPr>
          <w:p w:rsidR="00025C62" w:rsidRPr="0031624B" w:rsidRDefault="00025C62" w:rsidP="008F1EEE">
            <w:pPr>
              <w:spacing w:line="240" w:lineRule="auto"/>
              <w:jc w:val="both"/>
              <w:rPr>
                <w:rFonts w:eastAsia="Times New Roman" w:cs="Times New Roman"/>
                <w:sz w:val="20"/>
                <w:szCs w:val="20"/>
              </w:rPr>
            </w:pPr>
            <w:r w:rsidRPr="0031624B">
              <w:rPr>
                <w:rFonts w:eastAsia="Arial" w:cs="Times New Roman"/>
                <w:sz w:val="20"/>
                <w:szCs w:val="20"/>
              </w:rPr>
              <w:t>28. </w:t>
            </w:r>
          </w:p>
        </w:tc>
        <w:tc>
          <w:tcPr>
            <w:tcW w:w="2487" w:type="pct"/>
          </w:tcPr>
          <w:p w:rsidR="00025C62" w:rsidRPr="0031624B" w:rsidRDefault="00025C62" w:rsidP="008F1EEE">
            <w:pPr>
              <w:spacing w:line="240" w:lineRule="auto"/>
              <w:jc w:val="right"/>
              <w:rPr>
                <w:rFonts w:cs="Times New Roman"/>
                <w:sz w:val="20"/>
                <w:szCs w:val="20"/>
              </w:rPr>
            </w:pPr>
            <w:r w:rsidRPr="0031624B">
              <w:rPr>
                <w:rFonts w:cs="Times New Roman"/>
                <w:sz w:val="20"/>
                <w:szCs w:val="20"/>
              </w:rPr>
              <w:t>The intermediate and the insured party is  never  represented by one person.</w:t>
            </w:r>
          </w:p>
        </w:tc>
        <w:tc>
          <w:tcPr>
            <w:tcW w:w="570"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3.54</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1.24</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3.25</w:t>
            </w:r>
          </w:p>
        </w:tc>
        <w:tc>
          <w:tcPr>
            <w:tcW w:w="43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0.00</w:t>
            </w:r>
          </w:p>
        </w:tc>
      </w:tr>
      <w:tr w:rsidR="00BD3BE5" w:rsidRPr="0031624B" w:rsidTr="004F1F72">
        <w:trPr>
          <w:trHeight w:val="698"/>
        </w:trPr>
        <w:tc>
          <w:tcPr>
            <w:tcW w:w="365" w:type="pct"/>
            <w:vAlign w:val="center"/>
          </w:tcPr>
          <w:p w:rsidR="00025C62" w:rsidRPr="0031624B" w:rsidRDefault="00025C62" w:rsidP="008F1EEE">
            <w:pPr>
              <w:spacing w:line="240" w:lineRule="auto"/>
              <w:jc w:val="both"/>
              <w:rPr>
                <w:rFonts w:eastAsia="Times New Roman" w:cs="Times New Roman"/>
                <w:sz w:val="20"/>
                <w:szCs w:val="20"/>
              </w:rPr>
            </w:pPr>
            <w:r w:rsidRPr="0031624B">
              <w:rPr>
                <w:rFonts w:eastAsia="Arial" w:cs="Times New Roman"/>
                <w:sz w:val="20"/>
                <w:szCs w:val="20"/>
              </w:rPr>
              <w:t>29. </w:t>
            </w:r>
          </w:p>
        </w:tc>
        <w:tc>
          <w:tcPr>
            <w:tcW w:w="2487" w:type="pct"/>
          </w:tcPr>
          <w:p w:rsidR="00025C62" w:rsidRPr="0031624B" w:rsidRDefault="00025C62" w:rsidP="008F1EEE">
            <w:pPr>
              <w:spacing w:line="240" w:lineRule="auto"/>
              <w:jc w:val="right"/>
              <w:rPr>
                <w:rFonts w:cs="Times New Roman"/>
                <w:sz w:val="20"/>
                <w:szCs w:val="20"/>
              </w:rPr>
            </w:pPr>
            <w:r w:rsidRPr="0031624B">
              <w:rPr>
                <w:rFonts w:cs="Times New Roman"/>
                <w:sz w:val="20"/>
                <w:szCs w:val="20"/>
              </w:rPr>
              <w:t>The intermediates and brokers have the power for signing the contracts.</w:t>
            </w:r>
          </w:p>
        </w:tc>
        <w:tc>
          <w:tcPr>
            <w:tcW w:w="570"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3.86</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0.94</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6.81</w:t>
            </w:r>
          </w:p>
        </w:tc>
        <w:tc>
          <w:tcPr>
            <w:tcW w:w="43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0.00</w:t>
            </w:r>
          </w:p>
        </w:tc>
      </w:tr>
      <w:tr w:rsidR="00BD3BE5" w:rsidRPr="0031624B" w:rsidTr="004F1F72">
        <w:trPr>
          <w:trHeight w:val="698"/>
        </w:trPr>
        <w:tc>
          <w:tcPr>
            <w:tcW w:w="365" w:type="pct"/>
            <w:vAlign w:val="center"/>
          </w:tcPr>
          <w:p w:rsidR="00025C62" w:rsidRPr="0031624B" w:rsidRDefault="00025C62" w:rsidP="008F1EEE">
            <w:pPr>
              <w:spacing w:line="240" w:lineRule="auto"/>
              <w:jc w:val="both"/>
              <w:rPr>
                <w:rFonts w:eastAsia="Times New Roman" w:cs="Times New Roman"/>
                <w:sz w:val="20"/>
                <w:szCs w:val="20"/>
              </w:rPr>
            </w:pPr>
            <w:r w:rsidRPr="0031624B">
              <w:rPr>
                <w:rFonts w:eastAsia="Arial" w:cs="Times New Roman"/>
                <w:sz w:val="20"/>
                <w:szCs w:val="20"/>
              </w:rPr>
              <w:t>30. </w:t>
            </w:r>
          </w:p>
        </w:tc>
        <w:tc>
          <w:tcPr>
            <w:tcW w:w="2487" w:type="pct"/>
          </w:tcPr>
          <w:p w:rsidR="00025C62" w:rsidRPr="0031624B" w:rsidRDefault="00025C62" w:rsidP="008F1EEE">
            <w:pPr>
              <w:spacing w:line="240" w:lineRule="auto"/>
              <w:jc w:val="right"/>
              <w:rPr>
                <w:rFonts w:cs="Times New Roman"/>
                <w:sz w:val="20"/>
                <w:szCs w:val="20"/>
              </w:rPr>
            </w:pPr>
            <w:r w:rsidRPr="0031624B">
              <w:rPr>
                <w:rFonts w:cs="Times New Roman"/>
                <w:sz w:val="20"/>
                <w:szCs w:val="20"/>
              </w:rPr>
              <w:t xml:space="preserve">The intermediates and </w:t>
            </w:r>
            <w:r w:rsidR="0079487E" w:rsidRPr="0031624B">
              <w:rPr>
                <w:rFonts w:cs="Times New Roman"/>
                <w:sz w:val="20"/>
                <w:szCs w:val="20"/>
              </w:rPr>
              <w:t>brokers collect</w:t>
            </w:r>
            <w:r w:rsidRPr="0031624B">
              <w:rPr>
                <w:rFonts w:cs="Times New Roman"/>
                <w:sz w:val="20"/>
                <w:szCs w:val="20"/>
              </w:rPr>
              <w:t xml:space="preserve"> commissions and premiums.</w:t>
            </w:r>
          </w:p>
        </w:tc>
        <w:tc>
          <w:tcPr>
            <w:tcW w:w="570"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3.04</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1.01</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0.27</w:t>
            </w:r>
          </w:p>
        </w:tc>
        <w:tc>
          <w:tcPr>
            <w:tcW w:w="43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0.79</w:t>
            </w:r>
          </w:p>
        </w:tc>
      </w:tr>
      <w:tr w:rsidR="00BD3BE5" w:rsidRPr="0031624B" w:rsidTr="004F1F72">
        <w:trPr>
          <w:trHeight w:val="681"/>
        </w:trPr>
        <w:tc>
          <w:tcPr>
            <w:tcW w:w="365" w:type="pct"/>
            <w:vAlign w:val="center"/>
          </w:tcPr>
          <w:p w:rsidR="00025C62" w:rsidRPr="0031624B" w:rsidRDefault="00025C62" w:rsidP="008F1EEE">
            <w:pPr>
              <w:spacing w:line="240" w:lineRule="auto"/>
              <w:jc w:val="both"/>
              <w:rPr>
                <w:rFonts w:eastAsia="Times New Roman" w:cs="Times New Roman"/>
                <w:sz w:val="20"/>
                <w:szCs w:val="20"/>
                <w:rtl/>
                <w:lang w:bidi="ar-JO"/>
              </w:rPr>
            </w:pPr>
            <w:r w:rsidRPr="0031624B">
              <w:rPr>
                <w:rFonts w:eastAsia="Arial" w:cs="Times New Roman"/>
                <w:sz w:val="20"/>
                <w:szCs w:val="20"/>
              </w:rPr>
              <w:t>31. </w:t>
            </w:r>
          </w:p>
        </w:tc>
        <w:tc>
          <w:tcPr>
            <w:tcW w:w="2487" w:type="pct"/>
          </w:tcPr>
          <w:p w:rsidR="00025C62" w:rsidRPr="0031624B" w:rsidRDefault="00025C62" w:rsidP="008F1EEE">
            <w:pPr>
              <w:spacing w:line="240" w:lineRule="auto"/>
              <w:jc w:val="right"/>
              <w:rPr>
                <w:rFonts w:cs="Times New Roman"/>
                <w:sz w:val="20"/>
                <w:szCs w:val="20"/>
              </w:rPr>
            </w:pPr>
            <w:r w:rsidRPr="0031624B">
              <w:rPr>
                <w:rFonts w:cs="Times New Roman"/>
                <w:sz w:val="20"/>
                <w:szCs w:val="20"/>
              </w:rPr>
              <w:t>There is  a significant increase in the number of claims that have not been settled.</w:t>
            </w:r>
          </w:p>
        </w:tc>
        <w:tc>
          <w:tcPr>
            <w:tcW w:w="570"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2.88</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0.97</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-0.96</w:t>
            </w:r>
          </w:p>
        </w:tc>
        <w:tc>
          <w:tcPr>
            <w:tcW w:w="43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0.34</w:t>
            </w:r>
          </w:p>
        </w:tc>
      </w:tr>
      <w:tr w:rsidR="00BD3BE5" w:rsidRPr="0031624B" w:rsidTr="004F1F72">
        <w:trPr>
          <w:trHeight w:val="454"/>
        </w:trPr>
        <w:tc>
          <w:tcPr>
            <w:tcW w:w="2852" w:type="pct"/>
            <w:gridSpan w:val="2"/>
          </w:tcPr>
          <w:p w:rsidR="00025C62" w:rsidRPr="0031624B" w:rsidRDefault="00025C62" w:rsidP="008F1EEE">
            <w:pPr>
              <w:bidi w:val="0"/>
              <w:spacing w:line="240" w:lineRule="auto"/>
              <w:jc w:val="both"/>
              <w:rPr>
                <w:rFonts w:cs="Times New Roman"/>
                <w:sz w:val="20"/>
                <w:szCs w:val="20"/>
                <w:lang w:bidi="ar-JO"/>
              </w:rPr>
            </w:pPr>
            <w:r w:rsidRPr="0031624B">
              <w:rPr>
                <w:rFonts w:cs="Times New Roman"/>
                <w:sz w:val="20"/>
                <w:szCs w:val="20"/>
                <w:lang w:bidi="ar-JO"/>
              </w:rPr>
              <w:t>Total</w:t>
            </w:r>
          </w:p>
        </w:tc>
        <w:tc>
          <w:tcPr>
            <w:tcW w:w="570"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3.36</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0.59</w:t>
            </w:r>
          </w:p>
        </w:tc>
        <w:tc>
          <w:tcPr>
            <w:tcW w:w="573"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4.56</w:t>
            </w:r>
          </w:p>
        </w:tc>
        <w:tc>
          <w:tcPr>
            <w:tcW w:w="432" w:type="pct"/>
          </w:tcPr>
          <w:p w:rsidR="00025C62" w:rsidRPr="0031624B" w:rsidRDefault="00025C62" w:rsidP="008F1EEE">
            <w:pPr>
              <w:bidi w:val="0"/>
              <w:spacing w:line="240" w:lineRule="auto"/>
              <w:jc w:val="both"/>
              <w:rPr>
                <w:rFonts w:cs="Times New Roman"/>
                <w:sz w:val="20"/>
                <w:szCs w:val="20"/>
              </w:rPr>
            </w:pPr>
            <w:r w:rsidRPr="0031624B">
              <w:rPr>
                <w:rFonts w:cs="Times New Roman"/>
                <w:sz w:val="20"/>
                <w:szCs w:val="20"/>
              </w:rPr>
              <w:t>0.00</w:t>
            </w:r>
          </w:p>
        </w:tc>
      </w:tr>
    </w:tbl>
    <w:p w:rsidR="00025C62" w:rsidRPr="00BD3BE5" w:rsidRDefault="00025C62" w:rsidP="008F1EEE">
      <w:pPr>
        <w:spacing w:line="240" w:lineRule="auto"/>
        <w:jc w:val="both"/>
        <w:rPr>
          <w:rFonts w:cs="Times New Roman"/>
          <w:rtl/>
          <w:lang w:bidi="ar-JO"/>
        </w:rPr>
      </w:pPr>
    </w:p>
    <w:p w:rsidR="00025C62" w:rsidRPr="00BD3BE5" w:rsidRDefault="00025C62" w:rsidP="00DB6D44">
      <w:pPr>
        <w:pStyle w:val="HTML"/>
        <w:shd w:val="clear" w:color="auto" w:fill="FFFFFF"/>
        <w:jc w:val="both"/>
        <w:rPr>
          <w:rFonts w:asciiTheme="minorHAnsi" w:hAnsiTheme="minorHAnsi" w:cs="Times New Roman"/>
          <w:sz w:val="22"/>
          <w:szCs w:val="22"/>
        </w:rPr>
      </w:pPr>
      <w:r w:rsidRPr="00BD3BE5">
        <w:rPr>
          <w:rFonts w:asciiTheme="minorHAnsi" w:hAnsiTheme="minorHAnsi" w:cs="Times New Roman"/>
          <w:sz w:val="22"/>
          <w:szCs w:val="22"/>
        </w:rPr>
        <w:t xml:space="preserve">Testing third hypothesis shows that there are factors that are  related to the intermediates and brokers of insurance companies that represent indicators to fraud existence, from </w:t>
      </w:r>
      <w:r w:rsidR="00DB6D44">
        <w:rPr>
          <w:rFonts w:asciiTheme="minorHAnsi" w:hAnsiTheme="minorHAnsi" w:cs="Times New Roman"/>
          <w:sz w:val="22"/>
          <w:szCs w:val="22"/>
        </w:rPr>
        <w:t>t</w:t>
      </w:r>
      <w:r w:rsidRPr="00BD3BE5">
        <w:rPr>
          <w:rFonts w:asciiTheme="minorHAnsi" w:hAnsiTheme="minorHAnsi" w:cs="Times New Roman"/>
          <w:sz w:val="22"/>
          <w:szCs w:val="22"/>
        </w:rPr>
        <w:t>able ( 5)  with the exception of paragraphs 25, 30, 31, all other paragraphs got a means greater than 3.00, and with levels of significance less than 0.05, so they are statistically significant, while paragraphs 25.31  have a mean less than 3.00, and statistically insignificant. also paragraph 30 has mean greater than 3.00, but the significance of the level was  greater than 0.05 so it is  statistically insignificant.</w:t>
      </w:r>
    </w:p>
    <w:p w:rsidR="004F1F72" w:rsidRPr="00BD3BE5" w:rsidRDefault="004F1F72" w:rsidP="008F1EEE">
      <w:pPr>
        <w:pStyle w:val="HTML"/>
        <w:shd w:val="clear" w:color="auto" w:fill="FFFFFF"/>
        <w:jc w:val="both"/>
        <w:rPr>
          <w:rFonts w:asciiTheme="minorHAnsi" w:hAnsiTheme="minorHAnsi" w:cs="Times New Roman"/>
          <w:sz w:val="22"/>
          <w:szCs w:val="22"/>
        </w:rPr>
      </w:pPr>
    </w:p>
    <w:p w:rsidR="00CF7100" w:rsidRPr="00BD3BE5" w:rsidRDefault="00025C62" w:rsidP="008F1EEE">
      <w:pPr>
        <w:tabs>
          <w:tab w:val="left" w:pos="8280"/>
          <w:tab w:val="left" w:pos="9090"/>
          <w:tab w:val="left" w:pos="9180"/>
        </w:tabs>
        <w:bidi w:val="0"/>
        <w:spacing w:line="240" w:lineRule="auto"/>
        <w:jc w:val="both"/>
        <w:rPr>
          <w:rFonts w:eastAsia="Times New Roman" w:cs="Times New Roman"/>
        </w:rPr>
      </w:pPr>
      <w:r w:rsidRPr="00BD3BE5">
        <w:rPr>
          <w:rFonts w:eastAsia="Times New Roman" w:cs="Times New Roman"/>
        </w:rPr>
        <w:t>For all the paragraphs together, the mean was 3.36 and with significance level of 0.00, so its statistically significant. In other words, there are factors related to the intermediates and brokers of insurance companies that represent indicators to fraud existence, therefor we reject the hypothesis H3 and accept he alternative one</w:t>
      </w:r>
      <w:r w:rsidR="00CF7100" w:rsidRPr="00BD3BE5">
        <w:rPr>
          <w:rFonts w:eastAsia="Times New Roman" w:cs="Times New Roman"/>
        </w:rPr>
        <w:t xml:space="preserve"> which is Insurance companies  face  fraudulent practices committed by Insurance Intermediates or /and brokers.</w:t>
      </w:r>
    </w:p>
    <w:p w:rsidR="004F1F72" w:rsidRDefault="004F1F72" w:rsidP="008F1EEE">
      <w:pPr>
        <w:pStyle w:val="HTML"/>
        <w:shd w:val="clear" w:color="auto" w:fill="FFFFFF"/>
        <w:jc w:val="both"/>
        <w:rPr>
          <w:rFonts w:asciiTheme="minorHAnsi" w:hAnsiTheme="minorHAnsi" w:cs="Times New Roman"/>
          <w:sz w:val="22"/>
          <w:szCs w:val="22"/>
        </w:rPr>
      </w:pPr>
    </w:p>
    <w:p w:rsidR="0079487E" w:rsidRDefault="0079487E" w:rsidP="008F1EEE">
      <w:pPr>
        <w:pStyle w:val="HTML"/>
        <w:shd w:val="clear" w:color="auto" w:fill="FFFFFF"/>
        <w:jc w:val="both"/>
        <w:rPr>
          <w:rFonts w:asciiTheme="minorHAnsi" w:hAnsiTheme="minorHAnsi" w:cs="Times New Roman"/>
          <w:sz w:val="22"/>
          <w:szCs w:val="22"/>
        </w:rPr>
      </w:pPr>
    </w:p>
    <w:p w:rsidR="0079487E" w:rsidRDefault="0079487E" w:rsidP="008F1EEE">
      <w:pPr>
        <w:pStyle w:val="HTML"/>
        <w:shd w:val="clear" w:color="auto" w:fill="FFFFFF"/>
        <w:jc w:val="both"/>
        <w:rPr>
          <w:rFonts w:asciiTheme="minorHAnsi" w:hAnsiTheme="minorHAnsi" w:cs="Times New Roman"/>
          <w:sz w:val="22"/>
          <w:szCs w:val="22"/>
        </w:rPr>
      </w:pPr>
    </w:p>
    <w:p w:rsidR="0079487E" w:rsidRDefault="0079487E" w:rsidP="008F1EEE">
      <w:pPr>
        <w:pStyle w:val="HTML"/>
        <w:shd w:val="clear" w:color="auto" w:fill="FFFFFF"/>
        <w:jc w:val="both"/>
        <w:rPr>
          <w:rFonts w:asciiTheme="minorHAnsi" w:hAnsiTheme="minorHAnsi" w:cs="Times New Roman"/>
          <w:sz w:val="22"/>
          <w:szCs w:val="22"/>
        </w:rPr>
      </w:pPr>
    </w:p>
    <w:p w:rsidR="0079487E" w:rsidRDefault="0079487E" w:rsidP="008F1EEE">
      <w:pPr>
        <w:pStyle w:val="HTML"/>
        <w:shd w:val="clear" w:color="auto" w:fill="FFFFFF"/>
        <w:jc w:val="both"/>
        <w:rPr>
          <w:rFonts w:asciiTheme="minorHAnsi" w:hAnsiTheme="minorHAnsi" w:cs="Times New Roman"/>
          <w:sz w:val="22"/>
          <w:szCs w:val="22"/>
        </w:rPr>
      </w:pPr>
    </w:p>
    <w:p w:rsidR="0079487E" w:rsidRDefault="0079487E" w:rsidP="008F1EEE">
      <w:pPr>
        <w:pStyle w:val="HTML"/>
        <w:shd w:val="clear" w:color="auto" w:fill="FFFFFF"/>
        <w:jc w:val="both"/>
        <w:rPr>
          <w:rFonts w:asciiTheme="minorHAnsi" w:hAnsiTheme="minorHAnsi" w:cs="Times New Roman"/>
          <w:sz w:val="22"/>
          <w:szCs w:val="22"/>
        </w:rPr>
      </w:pPr>
    </w:p>
    <w:p w:rsidR="0079487E" w:rsidRDefault="0079487E" w:rsidP="008F1EEE">
      <w:pPr>
        <w:pStyle w:val="HTML"/>
        <w:shd w:val="clear" w:color="auto" w:fill="FFFFFF"/>
        <w:jc w:val="both"/>
        <w:rPr>
          <w:rFonts w:asciiTheme="minorHAnsi" w:hAnsiTheme="minorHAnsi" w:cs="Times New Roman"/>
          <w:sz w:val="22"/>
          <w:szCs w:val="22"/>
        </w:rPr>
      </w:pPr>
    </w:p>
    <w:p w:rsidR="005E6FC7" w:rsidRPr="00BD3BE5" w:rsidRDefault="005E6FC7" w:rsidP="008F1EEE">
      <w:pPr>
        <w:pStyle w:val="HTML"/>
        <w:shd w:val="clear" w:color="auto" w:fill="FFFFFF"/>
        <w:jc w:val="both"/>
        <w:rPr>
          <w:rFonts w:asciiTheme="minorHAnsi" w:hAnsiTheme="minorHAnsi" w:cs="Times New Roman"/>
          <w:b/>
          <w:bCs/>
          <w:sz w:val="22"/>
          <w:szCs w:val="22"/>
        </w:rPr>
      </w:pPr>
      <w:r w:rsidRPr="00BD3BE5">
        <w:rPr>
          <w:rFonts w:asciiTheme="minorHAnsi" w:hAnsiTheme="minorHAnsi" w:cs="Times New Roman"/>
          <w:b/>
          <w:bCs/>
          <w:sz w:val="22"/>
          <w:szCs w:val="22"/>
        </w:rPr>
        <w:t>The Fourth Hypothesis:</w:t>
      </w:r>
    </w:p>
    <w:p w:rsidR="00025C62" w:rsidRPr="00BD3BE5" w:rsidRDefault="00025C62" w:rsidP="008F1EEE">
      <w:pPr>
        <w:pStyle w:val="HTML"/>
        <w:shd w:val="clear" w:color="auto" w:fill="FFFFFF"/>
        <w:jc w:val="both"/>
        <w:rPr>
          <w:rFonts w:asciiTheme="minorHAnsi" w:hAnsiTheme="minorHAnsi" w:cs="Times New Roman"/>
          <w:b/>
          <w:bCs/>
          <w:sz w:val="22"/>
          <w:szCs w:val="22"/>
          <w:lang w:bidi="ar-JO"/>
        </w:rPr>
      </w:pPr>
    </w:p>
    <w:p w:rsidR="005E6FC7" w:rsidRPr="00BD3BE5" w:rsidRDefault="005E6FC7" w:rsidP="008F1EEE">
      <w:pPr>
        <w:tabs>
          <w:tab w:val="left" w:pos="8280"/>
          <w:tab w:val="left" w:pos="9090"/>
          <w:tab w:val="left" w:pos="9180"/>
        </w:tabs>
        <w:bidi w:val="0"/>
        <w:spacing w:line="240" w:lineRule="auto"/>
        <w:rPr>
          <w:rFonts w:cs="Aparajita"/>
        </w:rPr>
      </w:pPr>
      <w:r w:rsidRPr="00BD3BE5">
        <w:rPr>
          <w:rFonts w:cs="Times New Roman"/>
        </w:rPr>
        <w:t xml:space="preserve">H4 </w:t>
      </w:r>
      <w:r w:rsidRPr="00BD3BE5">
        <w:rPr>
          <w:rFonts w:cs="Aparajita"/>
        </w:rPr>
        <w:t xml:space="preserve">Insurance companies </w:t>
      </w:r>
      <w:r w:rsidRPr="00BD3BE5">
        <w:rPr>
          <w:rFonts w:cs="Times New Roman"/>
        </w:rPr>
        <w:t>do not face any</w:t>
      </w:r>
      <w:r w:rsidRPr="00BD3BE5">
        <w:rPr>
          <w:rFonts w:cs="Aparajita"/>
        </w:rPr>
        <w:t xml:space="preserve"> fraudulent practices committed by insurance complementary service providers.</w:t>
      </w:r>
    </w:p>
    <w:p w:rsidR="00025C62" w:rsidRPr="00BD3BE5" w:rsidRDefault="00025C62" w:rsidP="008F1EEE">
      <w:pPr>
        <w:bidi w:val="0"/>
        <w:spacing w:line="240" w:lineRule="auto"/>
        <w:jc w:val="center"/>
        <w:rPr>
          <w:rFonts w:cs="Times New Roman"/>
          <w:b/>
          <w:bCs/>
          <w:lang w:bidi="ar-JO"/>
        </w:rPr>
      </w:pPr>
      <w:r w:rsidRPr="00BD3BE5">
        <w:rPr>
          <w:rFonts w:cs="Times New Roman"/>
          <w:b/>
          <w:bCs/>
          <w:lang w:bidi="ar-JO"/>
        </w:rPr>
        <w:t>Table (6)</w:t>
      </w:r>
    </w:p>
    <w:tbl>
      <w:tblPr>
        <w:tblStyle w:val="a6"/>
        <w:tblW w:w="5000" w:type="pct"/>
        <w:tblLook w:val="04A0" w:firstRow="1" w:lastRow="0" w:firstColumn="1" w:lastColumn="0" w:noHBand="0" w:noVBand="1"/>
      </w:tblPr>
      <w:tblGrid>
        <w:gridCol w:w="702"/>
        <w:gridCol w:w="4759"/>
        <w:gridCol w:w="1092"/>
        <w:gridCol w:w="1097"/>
        <w:gridCol w:w="1097"/>
        <w:gridCol w:w="829"/>
      </w:tblGrid>
      <w:tr w:rsidR="00BD3BE5" w:rsidRPr="009A64DB" w:rsidTr="00FC1F23">
        <w:tc>
          <w:tcPr>
            <w:tcW w:w="366" w:type="pct"/>
          </w:tcPr>
          <w:p w:rsidR="00025C62" w:rsidRPr="009A64DB" w:rsidRDefault="00025C62" w:rsidP="008F1EEE">
            <w:pPr>
              <w:bidi w:val="0"/>
              <w:spacing w:line="240" w:lineRule="auto"/>
              <w:jc w:val="both"/>
              <w:rPr>
                <w:rFonts w:cs="Times New Roman"/>
                <w:sz w:val="20"/>
                <w:szCs w:val="20"/>
                <w:lang w:bidi="ar-JO"/>
              </w:rPr>
            </w:pPr>
            <w:r w:rsidRPr="009A64DB">
              <w:rPr>
                <w:rFonts w:cs="Times New Roman"/>
                <w:sz w:val="20"/>
                <w:szCs w:val="20"/>
                <w:lang w:bidi="ar-JO"/>
              </w:rPr>
              <w:t>No.</w:t>
            </w:r>
          </w:p>
        </w:tc>
        <w:tc>
          <w:tcPr>
            <w:tcW w:w="2485" w:type="pct"/>
          </w:tcPr>
          <w:p w:rsidR="00025C62" w:rsidRPr="009A64DB" w:rsidRDefault="00025C62" w:rsidP="008F1EEE">
            <w:pPr>
              <w:bidi w:val="0"/>
              <w:spacing w:line="240" w:lineRule="auto"/>
              <w:jc w:val="both"/>
              <w:rPr>
                <w:rFonts w:cs="Times New Roman"/>
                <w:sz w:val="20"/>
                <w:szCs w:val="20"/>
                <w:lang w:bidi="ar-JO"/>
              </w:rPr>
            </w:pPr>
            <w:r w:rsidRPr="009A64DB">
              <w:rPr>
                <w:rFonts w:cs="Times New Roman"/>
                <w:sz w:val="20"/>
                <w:szCs w:val="20"/>
              </w:rPr>
              <w:t>Statement</w:t>
            </w:r>
          </w:p>
        </w:tc>
        <w:tc>
          <w:tcPr>
            <w:tcW w:w="570" w:type="pct"/>
          </w:tcPr>
          <w:p w:rsidR="00025C62" w:rsidRPr="009A64DB" w:rsidRDefault="00025C62" w:rsidP="008F1EEE">
            <w:pPr>
              <w:bidi w:val="0"/>
              <w:spacing w:line="240" w:lineRule="auto"/>
              <w:jc w:val="both"/>
              <w:rPr>
                <w:rFonts w:cs="Times New Roman"/>
                <w:sz w:val="20"/>
                <w:szCs w:val="20"/>
                <w:lang w:bidi="ar-JO"/>
              </w:rPr>
            </w:pPr>
            <w:r w:rsidRPr="009A64DB">
              <w:rPr>
                <w:rFonts w:cs="Times New Roman"/>
                <w:sz w:val="20"/>
                <w:szCs w:val="20"/>
              </w:rPr>
              <w:t>Mean</w:t>
            </w:r>
          </w:p>
        </w:tc>
        <w:tc>
          <w:tcPr>
            <w:tcW w:w="573" w:type="pct"/>
          </w:tcPr>
          <w:p w:rsidR="00025C62" w:rsidRPr="009A64DB" w:rsidRDefault="00025C62" w:rsidP="008F1EEE">
            <w:pPr>
              <w:bidi w:val="0"/>
              <w:spacing w:line="240" w:lineRule="auto"/>
              <w:jc w:val="both"/>
              <w:rPr>
                <w:rFonts w:cs="Times New Roman"/>
                <w:sz w:val="20"/>
                <w:szCs w:val="20"/>
                <w:lang w:bidi="ar-JO"/>
              </w:rPr>
            </w:pPr>
            <w:r w:rsidRPr="009A64DB">
              <w:rPr>
                <w:rFonts w:cs="Times New Roman"/>
                <w:sz w:val="20"/>
                <w:szCs w:val="20"/>
              </w:rPr>
              <w:t>Std. Devi</w:t>
            </w:r>
          </w:p>
        </w:tc>
        <w:tc>
          <w:tcPr>
            <w:tcW w:w="573" w:type="pct"/>
          </w:tcPr>
          <w:p w:rsidR="00025C62" w:rsidRPr="009A64DB" w:rsidRDefault="00025C62" w:rsidP="008F1EEE">
            <w:pPr>
              <w:bidi w:val="0"/>
              <w:spacing w:line="240" w:lineRule="auto"/>
              <w:jc w:val="both"/>
              <w:rPr>
                <w:rFonts w:cs="Times New Roman"/>
                <w:sz w:val="20"/>
                <w:szCs w:val="20"/>
                <w:lang w:bidi="ar-JO"/>
              </w:rPr>
            </w:pPr>
            <w:r w:rsidRPr="009A64DB">
              <w:rPr>
                <w:rFonts w:cs="Times New Roman"/>
                <w:sz w:val="20"/>
                <w:szCs w:val="20"/>
              </w:rPr>
              <w:t>T- value</w:t>
            </w:r>
          </w:p>
        </w:tc>
        <w:tc>
          <w:tcPr>
            <w:tcW w:w="433" w:type="pct"/>
          </w:tcPr>
          <w:p w:rsidR="00025C62" w:rsidRPr="009A64DB" w:rsidRDefault="00025C62" w:rsidP="008F1EEE">
            <w:pPr>
              <w:bidi w:val="0"/>
              <w:spacing w:line="240" w:lineRule="auto"/>
              <w:jc w:val="both"/>
              <w:rPr>
                <w:rFonts w:cs="Times New Roman"/>
                <w:sz w:val="20"/>
                <w:szCs w:val="20"/>
                <w:lang w:bidi="ar-JO"/>
              </w:rPr>
            </w:pPr>
            <w:r w:rsidRPr="009A64DB">
              <w:rPr>
                <w:rFonts w:cs="Times New Roman"/>
                <w:sz w:val="20"/>
                <w:szCs w:val="20"/>
              </w:rPr>
              <w:t>Sig.</w:t>
            </w:r>
          </w:p>
        </w:tc>
      </w:tr>
      <w:tr w:rsidR="00BD3BE5" w:rsidRPr="009A64DB" w:rsidTr="00FC1F23">
        <w:tc>
          <w:tcPr>
            <w:tcW w:w="366" w:type="pct"/>
            <w:vAlign w:val="center"/>
          </w:tcPr>
          <w:p w:rsidR="00025C62" w:rsidRPr="009A64DB" w:rsidRDefault="00025C62" w:rsidP="008F1EEE">
            <w:pPr>
              <w:spacing w:line="240" w:lineRule="auto"/>
              <w:jc w:val="both"/>
              <w:rPr>
                <w:rFonts w:eastAsia="Times New Roman" w:cs="Times New Roman"/>
                <w:sz w:val="20"/>
                <w:szCs w:val="20"/>
              </w:rPr>
            </w:pPr>
            <w:r w:rsidRPr="009A64DB">
              <w:rPr>
                <w:rFonts w:eastAsia="Arial" w:cs="Times New Roman"/>
                <w:sz w:val="20"/>
                <w:szCs w:val="20"/>
              </w:rPr>
              <w:t>32. </w:t>
            </w:r>
          </w:p>
        </w:tc>
        <w:tc>
          <w:tcPr>
            <w:tcW w:w="2485" w:type="pct"/>
          </w:tcPr>
          <w:p w:rsidR="00025C62" w:rsidRPr="009A64DB" w:rsidRDefault="00025C62" w:rsidP="008F1EEE">
            <w:pPr>
              <w:spacing w:line="240" w:lineRule="auto"/>
              <w:jc w:val="right"/>
              <w:rPr>
                <w:rFonts w:cs="Times New Roman"/>
                <w:sz w:val="20"/>
                <w:szCs w:val="20"/>
              </w:rPr>
            </w:pPr>
            <w:r w:rsidRPr="009A64DB">
              <w:rPr>
                <w:rFonts w:cs="Times New Roman"/>
                <w:sz w:val="20"/>
                <w:szCs w:val="20"/>
              </w:rPr>
              <w:t>The complementary service providers  inflating claims.</w:t>
            </w:r>
          </w:p>
        </w:tc>
        <w:tc>
          <w:tcPr>
            <w:tcW w:w="570"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3.68</w:t>
            </w:r>
          </w:p>
        </w:tc>
        <w:tc>
          <w:tcPr>
            <w:tcW w:w="57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0.88</w:t>
            </w:r>
          </w:p>
        </w:tc>
        <w:tc>
          <w:tcPr>
            <w:tcW w:w="57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5.80</w:t>
            </w:r>
          </w:p>
        </w:tc>
        <w:tc>
          <w:tcPr>
            <w:tcW w:w="43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0.00</w:t>
            </w:r>
          </w:p>
        </w:tc>
      </w:tr>
      <w:tr w:rsidR="00BD3BE5" w:rsidRPr="009A64DB" w:rsidTr="00FC1F23">
        <w:tc>
          <w:tcPr>
            <w:tcW w:w="366" w:type="pct"/>
            <w:vAlign w:val="center"/>
          </w:tcPr>
          <w:p w:rsidR="00025C62" w:rsidRPr="009A64DB" w:rsidRDefault="00025C62" w:rsidP="008F1EEE">
            <w:pPr>
              <w:spacing w:line="240" w:lineRule="auto"/>
              <w:jc w:val="both"/>
              <w:rPr>
                <w:rFonts w:eastAsia="Times New Roman" w:cs="Times New Roman"/>
                <w:sz w:val="20"/>
                <w:szCs w:val="20"/>
              </w:rPr>
            </w:pPr>
            <w:r w:rsidRPr="009A64DB">
              <w:rPr>
                <w:rFonts w:eastAsia="Arial" w:cs="Times New Roman"/>
                <w:sz w:val="20"/>
                <w:szCs w:val="20"/>
              </w:rPr>
              <w:t>33. </w:t>
            </w:r>
          </w:p>
        </w:tc>
        <w:tc>
          <w:tcPr>
            <w:tcW w:w="2485" w:type="pct"/>
          </w:tcPr>
          <w:p w:rsidR="00025C62" w:rsidRPr="009A64DB" w:rsidRDefault="00025C62" w:rsidP="008F1EEE">
            <w:pPr>
              <w:spacing w:line="240" w:lineRule="auto"/>
              <w:jc w:val="right"/>
              <w:rPr>
                <w:rFonts w:cs="Times New Roman"/>
                <w:sz w:val="20"/>
                <w:szCs w:val="20"/>
              </w:rPr>
            </w:pPr>
            <w:r w:rsidRPr="009A64DB">
              <w:rPr>
                <w:rFonts w:cs="Times New Roman"/>
                <w:sz w:val="20"/>
                <w:szCs w:val="20"/>
              </w:rPr>
              <w:t>The complementary service providers  deliberately provide incorrect invoices.</w:t>
            </w:r>
          </w:p>
        </w:tc>
        <w:tc>
          <w:tcPr>
            <w:tcW w:w="570"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3.40</w:t>
            </w:r>
          </w:p>
        </w:tc>
        <w:tc>
          <w:tcPr>
            <w:tcW w:w="57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0.86</w:t>
            </w:r>
          </w:p>
        </w:tc>
        <w:tc>
          <w:tcPr>
            <w:tcW w:w="57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3.38</w:t>
            </w:r>
          </w:p>
        </w:tc>
        <w:tc>
          <w:tcPr>
            <w:tcW w:w="43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0.00</w:t>
            </w:r>
          </w:p>
        </w:tc>
      </w:tr>
      <w:tr w:rsidR="00BD3BE5" w:rsidRPr="009A64DB" w:rsidTr="00FC1F23">
        <w:tc>
          <w:tcPr>
            <w:tcW w:w="366" w:type="pct"/>
            <w:vAlign w:val="center"/>
          </w:tcPr>
          <w:p w:rsidR="00025C62" w:rsidRPr="009A64DB" w:rsidRDefault="00025C62" w:rsidP="008F1EEE">
            <w:pPr>
              <w:spacing w:line="240" w:lineRule="auto"/>
              <w:jc w:val="both"/>
              <w:rPr>
                <w:rFonts w:eastAsia="Times New Roman" w:cs="Times New Roman"/>
                <w:sz w:val="20"/>
                <w:szCs w:val="20"/>
              </w:rPr>
            </w:pPr>
            <w:r w:rsidRPr="009A64DB">
              <w:rPr>
                <w:rFonts w:eastAsia="Arial" w:cs="Times New Roman"/>
                <w:sz w:val="20"/>
                <w:szCs w:val="20"/>
              </w:rPr>
              <w:t>34. </w:t>
            </w:r>
          </w:p>
        </w:tc>
        <w:tc>
          <w:tcPr>
            <w:tcW w:w="2485" w:type="pct"/>
          </w:tcPr>
          <w:p w:rsidR="00025C62" w:rsidRPr="009A64DB" w:rsidRDefault="00025C62" w:rsidP="008F1EEE">
            <w:pPr>
              <w:spacing w:line="240" w:lineRule="auto"/>
              <w:jc w:val="right"/>
              <w:rPr>
                <w:rFonts w:cs="Times New Roman"/>
                <w:sz w:val="20"/>
                <w:szCs w:val="20"/>
              </w:rPr>
            </w:pPr>
            <w:r w:rsidRPr="009A64DB">
              <w:rPr>
                <w:rFonts w:cs="Times New Roman"/>
                <w:sz w:val="20"/>
                <w:szCs w:val="20"/>
              </w:rPr>
              <w:t>sometime cases arise of using insurance services by non-insured.</w:t>
            </w:r>
          </w:p>
        </w:tc>
        <w:tc>
          <w:tcPr>
            <w:tcW w:w="570"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3.34</w:t>
            </w:r>
          </w:p>
        </w:tc>
        <w:tc>
          <w:tcPr>
            <w:tcW w:w="57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1.01</w:t>
            </w:r>
          </w:p>
        </w:tc>
        <w:tc>
          <w:tcPr>
            <w:tcW w:w="57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2.50</w:t>
            </w:r>
          </w:p>
        </w:tc>
        <w:tc>
          <w:tcPr>
            <w:tcW w:w="43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0.02</w:t>
            </w:r>
          </w:p>
        </w:tc>
      </w:tr>
      <w:tr w:rsidR="00BD3BE5" w:rsidRPr="009A64DB" w:rsidTr="00FC1F23">
        <w:tc>
          <w:tcPr>
            <w:tcW w:w="366" w:type="pct"/>
            <w:vAlign w:val="center"/>
          </w:tcPr>
          <w:p w:rsidR="00025C62" w:rsidRPr="009A64DB" w:rsidRDefault="00025C62" w:rsidP="008F1EEE">
            <w:pPr>
              <w:spacing w:line="240" w:lineRule="auto"/>
              <w:jc w:val="both"/>
              <w:rPr>
                <w:rFonts w:eastAsia="Times New Roman" w:cs="Times New Roman"/>
                <w:sz w:val="20"/>
                <w:szCs w:val="20"/>
              </w:rPr>
            </w:pPr>
            <w:r w:rsidRPr="009A64DB">
              <w:rPr>
                <w:rFonts w:eastAsia="Arial" w:cs="Times New Roman"/>
                <w:sz w:val="20"/>
                <w:szCs w:val="20"/>
              </w:rPr>
              <w:t>35. </w:t>
            </w:r>
          </w:p>
        </w:tc>
        <w:tc>
          <w:tcPr>
            <w:tcW w:w="2485" w:type="pct"/>
          </w:tcPr>
          <w:p w:rsidR="00025C62" w:rsidRPr="009A64DB" w:rsidRDefault="00025C62" w:rsidP="008F1EEE">
            <w:pPr>
              <w:spacing w:line="240" w:lineRule="auto"/>
              <w:jc w:val="right"/>
              <w:rPr>
                <w:rFonts w:cs="Times New Roman"/>
                <w:sz w:val="20"/>
                <w:szCs w:val="20"/>
              </w:rPr>
            </w:pPr>
            <w:r w:rsidRPr="009A64DB">
              <w:rPr>
                <w:rFonts w:cs="Times New Roman"/>
                <w:sz w:val="20"/>
                <w:szCs w:val="20"/>
              </w:rPr>
              <w:t>some actions undertaken by complementary service providers are unnecessary.</w:t>
            </w:r>
          </w:p>
        </w:tc>
        <w:tc>
          <w:tcPr>
            <w:tcW w:w="570"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3.59</w:t>
            </w:r>
          </w:p>
        </w:tc>
        <w:tc>
          <w:tcPr>
            <w:tcW w:w="57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1.23</w:t>
            </w:r>
          </w:p>
        </w:tc>
        <w:tc>
          <w:tcPr>
            <w:tcW w:w="57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3.58</w:t>
            </w:r>
          </w:p>
        </w:tc>
        <w:tc>
          <w:tcPr>
            <w:tcW w:w="43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0.00</w:t>
            </w:r>
          </w:p>
        </w:tc>
      </w:tr>
      <w:tr w:rsidR="00BD3BE5" w:rsidRPr="009A64DB" w:rsidTr="00FC1F23">
        <w:tc>
          <w:tcPr>
            <w:tcW w:w="366" w:type="pct"/>
            <w:vAlign w:val="center"/>
          </w:tcPr>
          <w:p w:rsidR="00025C62" w:rsidRPr="009A64DB" w:rsidRDefault="00025C62" w:rsidP="008F1EEE">
            <w:pPr>
              <w:spacing w:line="240" w:lineRule="auto"/>
              <w:jc w:val="both"/>
              <w:rPr>
                <w:rFonts w:eastAsia="Times New Roman" w:cs="Times New Roman"/>
                <w:sz w:val="20"/>
                <w:szCs w:val="20"/>
                <w:rtl/>
                <w:lang w:bidi="ar-JO"/>
              </w:rPr>
            </w:pPr>
            <w:r w:rsidRPr="009A64DB">
              <w:rPr>
                <w:rFonts w:eastAsia="Arial" w:cs="Times New Roman"/>
                <w:sz w:val="20"/>
                <w:szCs w:val="20"/>
              </w:rPr>
              <w:t>36. </w:t>
            </w:r>
          </w:p>
        </w:tc>
        <w:tc>
          <w:tcPr>
            <w:tcW w:w="2485" w:type="pct"/>
          </w:tcPr>
          <w:p w:rsidR="00025C62" w:rsidRPr="009A64DB" w:rsidRDefault="00025C62" w:rsidP="008F1EEE">
            <w:pPr>
              <w:spacing w:line="240" w:lineRule="auto"/>
              <w:jc w:val="right"/>
              <w:rPr>
                <w:rFonts w:cs="Times New Roman"/>
                <w:sz w:val="20"/>
                <w:szCs w:val="20"/>
              </w:rPr>
            </w:pPr>
            <w:r w:rsidRPr="009A64DB">
              <w:rPr>
                <w:rFonts w:cs="Times New Roman"/>
                <w:sz w:val="20"/>
                <w:szCs w:val="20"/>
              </w:rPr>
              <w:t>The company use lots of   complementary service providers.</w:t>
            </w:r>
          </w:p>
        </w:tc>
        <w:tc>
          <w:tcPr>
            <w:tcW w:w="570"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2.96</w:t>
            </w:r>
          </w:p>
        </w:tc>
        <w:tc>
          <w:tcPr>
            <w:tcW w:w="57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1.01</w:t>
            </w:r>
          </w:p>
        </w:tc>
        <w:tc>
          <w:tcPr>
            <w:tcW w:w="57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-0.27</w:t>
            </w:r>
          </w:p>
        </w:tc>
        <w:tc>
          <w:tcPr>
            <w:tcW w:w="43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0.79</w:t>
            </w:r>
          </w:p>
        </w:tc>
      </w:tr>
      <w:tr w:rsidR="00BD3BE5" w:rsidRPr="009A64DB" w:rsidTr="00FC1F23">
        <w:tc>
          <w:tcPr>
            <w:tcW w:w="2850" w:type="pct"/>
            <w:gridSpan w:val="2"/>
          </w:tcPr>
          <w:p w:rsidR="00025C62" w:rsidRPr="009A64DB" w:rsidRDefault="00025C62" w:rsidP="008F1EEE">
            <w:pPr>
              <w:bidi w:val="0"/>
              <w:spacing w:line="240" w:lineRule="auto"/>
              <w:jc w:val="both"/>
              <w:rPr>
                <w:rFonts w:cs="Times New Roman"/>
                <w:sz w:val="20"/>
                <w:szCs w:val="20"/>
                <w:lang w:bidi="ar-JO"/>
              </w:rPr>
            </w:pPr>
            <w:r w:rsidRPr="009A64DB">
              <w:rPr>
                <w:rFonts w:cs="Times New Roman"/>
                <w:sz w:val="20"/>
                <w:szCs w:val="20"/>
                <w:lang w:bidi="ar-JO"/>
              </w:rPr>
              <w:t>Total</w:t>
            </w:r>
          </w:p>
        </w:tc>
        <w:tc>
          <w:tcPr>
            <w:tcW w:w="570"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3.39</w:t>
            </w:r>
          </w:p>
        </w:tc>
        <w:tc>
          <w:tcPr>
            <w:tcW w:w="57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0.56</w:t>
            </w:r>
          </w:p>
        </w:tc>
        <w:tc>
          <w:tcPr>
            <w:tcW w:w="57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5.22</w:t>
            </w:r>
          </w:p>
        </w:tc>
        <w:tc>
          <w:tcPr>
            <w:tcW w:w="433" w:type="pct"/>
          </w:tcPr>
          <w:p w:rsidR="00025C62" w:rsidRPr="009A64DB" w:rsidRDefault="00025C62" w:rsidP="008F1EEE">
            <w:pPr>
              <w:bidi w:val="0"/>
              <w:spacing w:line="240" w:lineRule="auto"/>
              <w:jc w:val="both"/>
              <w:rPr>
                <w:rFonts w:cs="Times New Roman"/>
                <w:sz w:val="20"/>
                <w:szCs w:val="20"/>
              </w:rPr>
            </w:pPr>
            <w:r w:rsidRPr="009A64DB">
              <w:rPr>
                <w:rFonts w:cs="Times New Roman"/>
                <w:sz w:val="20"/>
                <w:szCs w:val="20"/>
              </w:rPr>
              <w:t>0.00</w:t>
            </w:r>
          </w:p>
        </w:tc>
      </w:tr>
    </w:tbl>
    <w:p w:rsidR="00025C62" w:rsidRPr="00BD3BE5" w:rsidRDefault="00025C62" w:rsidP="008F1EEE">
      <w:pPr>
        <w:bidi w:val="0"/>
        <w:spacing w:line="240" w:lineRule="auto"/>
        <w:rPr>
          <w:rFonts w:cs="Times New Roman"/>
          <w:sz w:val="18"/>
          <w:szCs w:val="18"/>
          <w:lang w:bidi="ar-JO"/>
        </w:rPr>
      </w:pPr>
    </w:p>
    <w:p w:rsidR="00025C62" w:rsidRPr="00BD3BE5" w:rsidRDefault="00025C62" w:rsidP="008F1EEE">
      <w:pPr>
        <w:pStyle w:val="HTML"/>
        <w:shd w:val="clear" w:color="auto" w:fill="FFFFFF"/>
        <w:jc w:val="both"/>
        <w:rPr>
          <w:rFonts w:asciiTheme="minorHAnsi" w:hAnsiTheme="minorHAnsi" w:cs="Times New Roman"/>
          <w:sz w:val="22"/>
          <w:szCs w:val="22"/>
        </w:rPr>
      </w:pPr>
      <w:r w:rsidRPr="00BD3BE5">
        <w:rPr>
          <w:rFonts w:asciiTheme="minorHAnsi" w:hAnsiTheme="minorHAnsi" w:cs="Times New Roman"/>
          <w:sz w:val="22"/>
          <w:szCs w:val="22"/>
        </w:rPr>
        <w:t>Fourth hypothesis shows that there are factors that are related to providers of complementary services to the insurance companies that represent indicators to fraud existence from Table (6) with exception of paragraph 36, all other paragraphs got a mean greater than 3.00, and with significance levels less than 0.05, therefor statistically significant, while paragraph No. 21 has a mean it is less than 3.00, and is not statistically significant.</w:t>
      </w:r>
    </w:p>
    <w:p w:rsidR="00CF7100" w:rsidRPr="00BD3BE5" w:rsidRDefault="00025C62" w:rsidP="008F1EEE">
      <w:pPr>
        <w:pStyle w:val="HTML"/>
        <w:shd w:val="clear" w:color="auto" w:fill="FFFFFF"/>
        <w:jc w:val="both"/>
        <w:rPr>
          <w:rFonts w:asciiTheme="minorHAnsi" w:hAnsiTheme="minorHAnsi" w:cs="Times New Roman"/>
          <w:sz w:val="22"/>
          <w:szCs w:val="22"/>
        </w:rPr>
      </w:pPr>
      <w:r w:rsidRPr="00BD3BE5">
        <w:rPr>
          <w:rFonts w:asciiTheme="minorHAnsi" w:hAnsiTheme="minorHAnsi" w:cs="Times New Roman"/>
          <w:sz w:val="22"/>
          <w:szCs w:val="22"/>
        </w:rPr>
        <w:t>For all the paragraphs together, the mean was 3.39 and with significant level of  0.00 so they are  statistically significant. In other words, there are factors related to providers of complementary services to the insurance companies that represent indicators to fraud existence</w:t>
      </w:r>
      <w:r w:rsidR="00CF7100" w:rsidRPr="00BD3BE5">
        <w:rPr>
          <w:rFonts w:asciiTheme="minorHAnsi" w:hAnsiTheme="minorHAnsi" w:cs="Times New Roman"/>
          <w:sz w:val="22"/>
          <w:szCs w:val="22"/>
        </w:rPr>
        <w:t xml:space="preserve"> therefor we reject the hypothesis H4 and accept he alternative one which is Insurance companies  face  fraudulent practices committed by insurance complementary service providers.</w:t>
      </w:r>
    </w:p>
    <w:p w:rsidR="00025C62" w:rsidRPr="00BD3BE5" w:rsidRDefault="00025C62" w:rsidP="008F1EEE">
      <w:pPr>
        <w:spacing w:line="240" w:lineRule="auto"/>
        <w:jc w:val="both"/>
        <w:rPr>
          <w:rFonts w:cs="Times New Roman"/>
          <w:lang w:bidi="ar-JO"/>
        </w:rPr>
      </w:pPr>
    </w:p>
    <w:p w:rsidR="00025C62" w:rsidRPr="00BD3BE5" w:rsidRDefault="00EC2B87" w:rsidP="008F1EEE">
      <w:pPr>
        <w:spacing w:line="240" w:lineRule="auto"/>
        <w:jc w:val="right"/>
        <w:rPr>
          <w:rFonts w:cs="Times New Roman"/>
          <w:b/>
          <w:bCs/>
          <w:rtl/>
          <w:lang w:bidi="ar-JO"/>
        </w:rPr>
      </w:pPr>
      <w:r w:rsidRPr="00BD3BE5">
        <w:rPr>
          <w:rFonts w:cs="Times New Roman"/>
          <w:b/>
          <w:bCs/>
          <w:lang w:bidi="ar-JO"/>
        </w:rPr>
        <w:t>Conclusion:</w:t>
      </w:r>
    </w:p>
    <w:p w:rsidR="00EB56BA" w:rsidRPr="00BD3BE5" w:rsidRDefault="009D3076" w:rsidP="008F1EEE">
      <w:pPr>
        <w:pStyle w:val="HTML"/>
        <w:shd w:val="clear" w:color="auto" w:fill="FFFFFF"/>
        <w:jc w:val="both"/>
        <w:rPr>
          <w:rFonts w:asciiTheme="minorHAnsi" w:hAnsiTheme="minorHAnsi" w:cs="Times New Roman"/>
          <w:sz w:val="22"/>
          <w:szCs w:val="22"/>
        </w:rPr>
      </w:pPr>
      <w:r w:rsidRPr="00BD3BE5">
        <w:rPr>
          <w:rFonts w:asciiTheme="minorHAnsi" w:hAnsiTheme="minorHAnsi" w:cs="Times New Roman"/>
          <w:sz w:val="22"/>
          <w:szCs w:val="22"/>
        </w:rPr>
        <w:t xml:space="preserve">This research </w:t>
      </w:r>
      <w:r w:rsidR="00131EAC" w:rsidRPr="00BD3BE5">
        <w:rPr>
          <w:rFonts w:asciiTheme="minorHAnsi" w:hAnsiTheme="minorHAnsi" w:cs="Times New Roman"/>
          <w:sz w:val="22"/>
          <w:szCs w:val="22"/>
        </w:rPr>
        <w:t>work investigate</w:t>
      </w:r>
      <w:r w:rsidRPr="00BD3BE5">
        <w:rPr>
          <w:rFonts w:asciiTheme="minorHAnsi" w:hAnsiTheme="minorHAnsi" w:cs="Times New Roman"/>
          <w:sz w:val="22"/>
          <w:szCs w:val="22"/>
        </w:rPr>
        <w:t xml:space="preserve"> the existence of</w:t>
      </w:r>
      <w:r w:rsidR="00131EAC" w:rsidRPr="00BD3BE5">
        <w:rPr>
          <w:rFonts w:asciiTheme="minorHAnsi" w:hAnsiTheme="minorHAnsi" w:cs="Times New Roman"/>
          <w:sz w:val="22"/>
          <w:szCs w:val="22"/>
        </w:rPr>
        <w:t xml:space="preserve"> fraud</w:t>
      </w:r>
      <w:r w:rsidRPr="00BD3BE5">
        <w:rPr>
          <w:rFonts w:asciiTheme="minorHAnsi" w:hAnsiTheme="minorHAnsi" w:cs="Times New Roman"/>
          <w:sz w:val="22"/>
          <w:szCs w:val="22"/>
        </w:rPr>
        <w:t xml:space="preserve"> indicators in insurance companies in Jordan, </w:t>
      </w:r>
      <w:r w:rsidR="00131EAC" w:rsidRPr="00BD3BE5">
        <w:rPr>
          <w:rFonts w:asciiTheme="minorHAnsi" w:hAnsiTheme="minorHAnsi" w:cs="Times New Roman"/>
          <w:sz w:val="22"/>
          <w:szCs w:val="22"/>
        </w:rPr>
        <w:t>the results confirmed the existence of these indicators in different aspects of insurance business,</w:t>
      </w:r>
      <w:r w:rsidR="005B1E8B" w:rsidRPr="00BD3BE5">
        <w:rPr>
          <w:rFonts w:asciiTheme="minorHAnsi" w:hAnsiTheme="minorHAnsi" w:cs="Times New Roman"/>
          <w:sz w:val="22"/>
          <w:szCs w:val="22"/>
        </w:rPr>
        <w:t xml:space="preserve"> insurance companies in Jordan generally have ineffectiveness in internal systems which g</w:t>
      </w:r>
      <w:r w:rsidR="00DB6D44">
        <w:rPr>
          <w:rFonts w:asciiTheme="minorHAnsi" w:hAnsiTheme="minorHAnsi" w:cs="Times New Roman"/>
          <w:sz w:val="22"/>
          <w:szCs w:val="22"/>
        </w:rPr>
        <w:t xml:space="preserve">ive a chance to commit </w:t>
      </w:r>
      <w:r w:rsidR="005B1E8B" w:rsidRPr="00BD3BE5">
        <w:rPr>
          <w:rFonts w:asciiTheme="minorHAnsi" w:hAnsiTheme="minorHAnsi" w:cs="Times New Roman"/>
          <w:sz w:val="22"/>
          <w:szCs w:val="22"/>
        </w:rPr>
        <w:t xml:space="preserve"> fraud</w:t>
      </w:r>
      <w:r w:rsidR="00EE41F5" w:rsidRPr="00BD3BE5">
        <w:rPr>
          <w:rFonts w:asciiTheme="minorHAnsi" w:hAnsiTheme="minorHAnsi" w:cs="Times New Roman"/>
          <w:sz w:val="22"/>
          <w:szCs w:val="22"/>
        </w:rPr>
        <w:t xml:space="preserve"> this result confirmed with </w:t>
      </w:r>
      <w:r w:rsidR="009E0F60" w:rsidRPr="00BD3BE5">
        <w:rPr>
          <w:rFonts w:asciiTheme="minorHAnsi" w:hAnsiTheme="minorHAnsi" w:cs="Times New Roman"/>
          <w:sz w:val="22"/>
          <w:szCs w:val="22"/>
        </w:rPr>
        <w:t>previous</w:t>
      </w:r>
      <w:r w:rsidR="00EE41F5" w:rsidRPr="00BD3BE5">
        <w:rPr>
          <w:rFonts w:asciiTheme="minorHAnsi" w:hAnsiTheme="minorHAnsi" w:cs="Times New Roman"/>
          <w:sz w:val="22"/>
          <w:szCs w:val="22"/>
        </w:rPr>
        <w:t xml:space="preserve"> studies like</w:t>
      </w:r>
      <w:r w:rsidR="009E0F60" w:rsidRPr="00BD3BE5">
        <w:rPr>
          <w:rFonts w:asciiTheme="minorHAnsi" w:hAnsiTheme="minorHAnsi" w:cs="Times New Roman"/>
          <w:sz w:val="22"/>
          <w:szCs w:val="22"/>
        </w:rPr>
        <w:t xml:space="preserve"> (Yusuf &amp;</w:t>
      </w:r>
      <w:proofErr w:type="spellStart"/>
      <w:r w:rsidR="009E0F60" w:rsidRPr="00BD3BE5">
        <w:rPr>
          <w:rFonts w:asciiTheme="minorHAnsi" w:hAnsiTheme="minorHAnsi" w:cs="Times New Roman"/>
          <w:sz w:val="22"/>
          <w:szCs w:val="22"/>
        </w:rPr>
        <w:t>Babalola</w:t>
      </w:r>
      <w:proofErr w:type="spellEnd"/>
      <w:r w:rsidR="009E0F60" w:rsidRPr="00BD3BE5">
        <w:rPr>
          <w:rFonts w:asciiTheme="minorHAnsi" w:hAnsiTheme="minorHAnsi" w:cs="Times New Roman"/>
          <w:sz w:val="22"/>
          <w:szCs w:val="22"/>
        </w:rPr>
        <w:t xml:space="preserve"> 2009), also  insurance companies in Jordan face  fraudulent practices committed by Insured parties this result goes with the result presented by (Dean, 2004) who studied the insurance fraud from ethical perspective of insured party</w:t>
      </w:r>
      <w:r w:rsidR="00C20321">
        <w:rPr>
          <w:rFonts w:asciiTheme="minorHAnsi" w:hAnsiTheme="minorHAnsi" w:cs="Times New Roman"/>
          <w:sz w:val="22"/>
          <w:szCs w:val="22"/>
        </w:rPr>
        <w:t xml:space="preserve"> </w:t>
      </w:r>
      <w:r w:rsidR="009E0F60" w:rsidRPr="00BD3BE5">
        <w:rPr>
          <w:rFonts w:asciiTheme="minorHAnsi" w:hAnsiTheme="minorHAnsi" w:cs="Times New Roman"/>
          <w:sz w:val="22"/>
          <w:szCs w:val="22"/>
        </w:rPr>
        <w:t>,</w:t>
      </w:r>
      <w:r w:rsidR="00DB6D44">
        <w:rPr>
          <w:rFonts w:asciiTheme="minorHAnsi" w:hAnsiTheme="minorHAnsi" w:cs="Times New Roman"/>
          <w:sz w:val="22"/>
          <w:szCs w:val="22"/>
        </w:rPr>
        <w:t>an</w:t>
      </w:r>
      <w:r w:rsidR="00EB56BA" w:rsidRPr="00BD3BE5">
        <w:rPr>
          <w:rFonts w:asciiTheme="minorHAnsi" w:hAnsiTheme="minorHAnsi" w:cs="Times New Roman"/>
          <w:sz w:val="22"/>
          <w:szCs w:val="22"/>
        </w:rPr>
        <w:t>other aspect</w:t>
      </w:r>
      <w:r w:rsidR="00DB6D44">
        <w:rPr>
          <w:rFonts w:asciiTheme="minorHAnsi" w:hAnsiTheme="minorHAnsi" w:cs="Times New Roman"/>
          <w:sz w:val="22"/>
          <w:szCs w:val="22"/>
        </w:rPr>
        <w:t xml:space="preserve"> is </w:t>
      </w:r>
      <w:r w:rsidR="00EB56BA" w:rsidRPr="00BD3BE5">
        <w:rPr>
          <w:rFonts w:asciiTheme="minorHAnsi" w:hAnsiTheme="minorHAnsi" w:cs="Times New Roman"/>
          <w:sz w:val="22"/>
          <w:szCs w:val="22"/>
        </w:rPr>
        <w:t xml:space="preserve"> related to Insurance  companies' Intermediates and brokers , the results confirmed of </w:t>
      </w:r>
      <w:r w:rsidR="00EB56BA" w:rsidRPr="00BD3BE5">
        <w:rPr>
          <w:rFonts w:asciiTheme="minorHAnsi" w:hAnsiTheme="minorHAnsi" w:cs="Times New Roman"/>
          <w:sz w:val="22"/>
          <w:szCs w:val="22"/>
        </w:rPr>
        <w:lastRenderedPageBreak/>
        <w:t>possible  fraudulent practices committed by Insurance Intermediates or  brokers this result is similar to the findings of (Dionne, Wang, 2013) .</w:t>
      </w:r>
      <w:r w:rsidR="00EB56BA" w:rsidRPr="00DB6D44">
        <w:rPr>
          <w:rFonts w:asciiTheme="minorHAnsi" w:hAnsiTheme="minorHAnsi" w:cs="Times New Roman"/>
          <w:sz w:val="22"/>
          <w:szCs w:val="22"/>
        </w:rPr>
        <w:t xml:space="preserve"> also the results shows that insurance companies face  </w:t>
      </w:r>
      <w:r w:rsidR="00EB56BA" w:rsidRPr="00BD3BE5">
        <w:rPr>
          <w:rFonts w:asciiTheme="minorHAnsi" w:hAnsiTheme="minorHAnsi" w:cs="Times New Roman"/>
          <w:sz w:val="22"/>
          <w:szCs w:val="22"/>
        </w:rPr>
        <w:t xml:space="preserve">fraudulent practices committed by insurance complementary service providers, this results is goes with </w:t>
      </w:r>
      <w:r w:rsidR="008F50B5" w:rsidRPr="00BD3BE5">
        <w:rPr>
          <w:rFonts w:asciiTheme="minorHAnsi" w:hAnsiTheme="minorHAnsi" w:cs="Times New Roman"/>
          <w:sz w:val="22"/>
          <w:szCs w:val="22"/>
        </w:rPr>
        <w:t>finding of(Gill, Karen Ann ,2014).</w:t>
      </w:r>
    </w:p>
    <w:p w:rsidR="0012271F" w:rsidRDefault="0012271F" w:rsidP="008F1EEE">
      <w:pPr>
        <w:pStyle w:val="HTML"/>
        <w:shd w:val="clear" w:color="auto" w:fill="FFFFFF"/>
        <w:jc w:val="both"/>
        <w:rPr>
          <w:rFonts w:asciiTheme="minorHAnsi" w:hAnsiTheme="minorHAnsi" w:cs="Times New Roman"/>
          <w:sz w:val="22"/>
          <w:szCs w:val="22"/>
        </w:rPr>
      </w:pPr>
    </w:p>
    <w:p w:rsidR="0079487E" w:rsidRDefault="0079487E" w:rsidP="008F1EEE">
      <w:pPr>
        <w:pStyle w:val="HTML"/>
        <w:shd w:val="clear" w:color="auto" w:fill="FFFFFF"/>
        <w:jc w:val="both"/>
        <w:rPr>
          <w:rFonts w:asciiTheme="minorHAnsi" w:hAnsiTheme="minorHAnsi" w:cs="Times New Roman"/>
          <w:sz w:val="22"/>
          <w:szCs w:val="22"/>
        </w:rPr>
      </w:pPr>
    </w:p>
    <w:p w:rsidR="0079487E" w:rsidRPr="00BD3BE5" w:rsidRDefault="0079487E" w:rsidP="008F1EEE">
      <w:pPr>
        <w:pStyle w:val="HTML"/>
        <w:shd w:val="clear" w:color="auto" w:fill="FFFFFF"/>
        <w:jc w:val="both"/>
        <w:rPr>
          <w:rFonts w:asciiTheme="minorHAnsi" w:hAnsiTheme="minorHAnsi" w:cs="Times New Roman"/>
          <w:sz w:val="22"/>
          <w:szCs w:val="22"/>
        </w:rPr>
      </w:pPr>
    </w:p>
    <w:p w:rsidR="0012271F" w:rsidRPr="00BD3BE5" w:rsidRDefault="0012271F" w:rsidP="008F1EEE">
      <w:pPr>
        <w:pStyle w:val="HTML"/>
        <w:shd w:val="clear" w:color="auto" w:fill="FFFFFF"/>
        <w:jc w:val="both"/>
        <w:rPr>
          <w:rFonts w:asciiTheme="minorHAnsi" w:hAnsiTheme="minorHAnsi" w:cs="Times New Roman"/>
          <w:b/>
          <w:bCs/>
          <w:sz w:val="24"/>
          <w:szCs w:val="24"/>
        </w:rPr>
      </w:pPr>
      <w:r w:rsidRPr="00BD3BE5">
        <w:rPr>
          <w:rFonts w:asciiTheme="minorHAnsi" w:hAnsiTheme="minorHAnsi" w:cs="Times New Roman"/>
          <w:b/>
          <w:bCs/>
          <w:sz w:val="24"/>
          <w:szCs w:val="24"/>
        </w:rPr>
        <w:t>Recommendations</w:t>
      </w:r>
    </w:p>
    <w:p w:rsidR="008F50B5" w:rsidRPr="00BD3BE5" w:rsidRDefault="008F50B5" w:rsidP="008F1EEE">
      <w:pPr>
        <w:pStyle w:val="HTML"/>
        <w:shd w:val="clear" w:color="auto" w:fill="FFFFFF"/>
        <w:jc w:val="both"/>
        <w:rPr>
          <w:rFonts w:asciiTheme="minorHAnsi" w:hAnsiTheme="minorHAnsi" w:cs="Times New Roman"/>
          <w:sz w:val="22"/>
          <w:szCs w:val="22"/>
        </w:rPr>
      </w:pPr>
    </w:p>
    <w:p w:rsidR="00FB4884" w:rsidRDefault="00131EAC" w:rsidP="00FA6D59">
      <w:pPr>
        <w:autoSpaceDE w:val="0"/>
        <w:autoSpaceDN w:val="0"/>
        <w:bidi w:val="0"/>
        <w:adjustRightInd w:val="0"/>
        <w:spacing w:after="0" w:line="240" w:lineRule="auto"/>
        <w:jc w:val="both"/>
        <w:rPr>
          <w:rFonts w:cs="Times New Roman"/>
        </w:rPr>
      </w:pPr>
      <w:r w:rsidRPr="00BD3BE5">
        <w:rPr>
          <w:rFonts w:cs="Times New Roman"/>
        </w:rPr>
        <w:t xml:space="preserve">It is recommended that insurance </w:t>
      </w:r>
      <w:r w:rsidR="0012271F" w:rsidRPr="00BD3BE5">
        <w:rPr>
          <w:rFonts w:cs="Times New Roman"/>
        </w:rPr>
        <w:t>companies should take</w:t>
      </w:r>
      <w:r w:rsidRPr="00BD3BE5">
        <w:rPr>
          <w:rFonts w:cs="Times New Roman"/>
        </w:rPr>
        <w:t xml:space="preserve"> into consideration </w:t>
      </w:r>
      <w:r w:rsidR="00DB6D44">
        <w:rPr>
          <w:rFonts w:cs="Times New Roman"/>
        </w:rPr>
        <w:t>the existence of these</w:t>
      </w:r>
      <w:r w:rsidR="00177342" w:rsidRPr="00BD3BE5">
        <w:rPr>
          <w:rFonts w:cs="Times New Roman"/>
        </w:rPr>
        <w:t xml:space="preserve"> indicator</w:t>
      </w:r>
      <w:r w:rsidR="00DB6D44">
        <w:rPr>
          <w:rFonts w:cs="Times New Roman"/>
        </w:rPr>
        <w:t>s</w:t>
      </w:r>
      <w:r w:rsidR="00177342" w:rsidRPr="00BD3BE5">
        <w:rPr>
          <w:rFonts w:cs="Times New Roman"/>
        </w:rPr>
        <w:t xml:space="preserve"> in order to deter and prevent insurance fraud commitment and </w:t>
      </w:r>
      <w:r w:rsidR="00DB6D44">
        <w:rPr>
          <w:rFonts w:cs="Times New Roman"/>
        </w:rPr>
        <w:t xml:space="preserve">to </w:t>
      </w:r>
      <w:r w:rsidR="00177342" w:rsidRPr="00BD3BE5">
        <w:rPr>
          <w:rFonts w:cs="Times New Roman"/>
        </w:rPr>
        <w:t>enhance their performance</w:t>
      </w:r>
      <w:r w:rsidR="0053620C" w:rsidRPr="00BD3BE5">
        <w:rPr>
          <w:rFonts w:cs="Times New Roman"/>
        </w:rPr>
        <w:t>,</w:t>
      </w:r>
      <w:r w:rsidR="00BF357E" w:rsidRPr="00BD3BE5">
        <w:rPr>
          <w:rFonts w:cs="Times New Roman"/>
        </w:rPr>
        <w:t xml:space="preserve"> therefore insurance companies in Jordan are </w:t>
      </w:r>
      <w:r w:rsidR="006D5AA2" w:rsidRPr="00BD3BE5">
        <w:rPr>
          <w:rFonts w:cs="Times New Roman"/>
        </w:rPr>
        <w:t xml:space="preserve">recommended </w:t>
      </w:r>
      <w:r w:rsidR="006D5AA2">
        <w:rPr>
          <w:rFonts w:cs="Times New Roman"/>
        </w:rPr>
        <w:t>to</w:t>
      </w:r>
      <w:r w:rsidR="00FB4884" w:rsidRPr="00BD3BE5">
        <w:rPr>
          <w:rFonts w:cs="Times New Roman"/>
        </w:rPr>
        <w:t xml:space="preserve"> i</w:t>
      </w:r>
      <w:r w:rsidR="00BF357E" w:rsidRPr="00BD3BE5">
        <w:rPr>
          <w:rFonts w:cs="Times New Roman"/>
        </w:rPr>
        <w:t>mprov</w:t>
      </w:r>
      <w:r w:rsidR="00FB4884" w:rsidRPr="00BD3BE5">
        <w:rPr>
          <w:rFonts w:cs="Times New Roman"/>
        </w:rPr>
        <w:t>e</w:t>
      </w:r>
      <w:r w:rsidR="00BF357E" w:rsidRPr="00BD3BE5">
        <w:rPr>
          <w:rFonts w:cs="Times New Roman"/>
        </w:rPr>
        <w:t xml:space="preserve"> insured party's understanding</w:t>
      </w:r>
      <w:r w:rsidR="000B25AD" w:rsidRPr="00BD3BE5">
        <w:rPr>
          <w:rFonts w:cs="Times New Roman"/>
        </w:rPr>
        <w:t xml:space="preserve"> and awareness regarding insurance</w:t>
      </w:r>
      <w:r w:rsidR="009758F2">
        <w:rPr>
          <w:rFonts w:cs="Times New Roman"/>
        </w:rPr>
        <w:t xml:space="preserve"> services </w:t>
      </w:r>
      <w:r w:rsidR="000F7892" w:rsidRPr="00BD3BE5">
        <w:rPr>
          <w:rFonts w:cs="Times New Roman"/>
        </w:rPr>
        <w:t xml:space="preserve">and  enhance the </w:t>
      </w:r>
      <w:r w:rsidR="006F4864" w:rsidRPr="00BD3BE5">
        <w:rPr>
          <w:rFonts w:cs="Times New Roman"/>
        </w:rPr>
        <w:t xml:space="preserve"> quality and quantity of data available in order to identify fraud cases and to create databases and data sharing.</w:t>
      </w:r>
      <w:r w:rsidR="00C20321">
        <w:rPr>
          <w:rFonts w:cs="Times New Roman"/>
        </w:rPr>
        <w:t xml:space="preserve"> </w:t>
      </w:r>
      <w:r w:rsidR="00661924" w:rsidRPr="00BD3BE5">
        <w:rPr>
          <w:rFonts w:cs="Times New Roman"/>
        </w:rPr>
        <w:t xml:space="preserve">Supervision </w:t>
      </w:r>
      <w:r w:rsidR="000D3396" w:rsidRPr="00BD3BE5">
        <w:rPr>
          <w:rFonts w:cs="Times New Roman"/>
        </w:rPr>
        <w:t>authorities should</w:t>
      </w:r>
      <w:r w:rsidR="00661924" w:rsidRPr="00BD3BE5">
        <w:rPr>
          <w:rFonts w:cs="Times New Roman"/>
        </w:rPr>
        <w:t xml:space="preserve"> develop and promote voluntary best practice’ guidance that enhance the effectiveness of insurance companies to tackle fraud</w:t>
      </w:r>
      <w:r w:rsidR="000D3396" w:rsidRPr="00BD3BE5">
        <w:rPr>
          <w:rFonts w:cs="Times New Roman"/>
        </w:rPr>
        <w:t xml:space="preserve"> and develop a suitable regulations to tackle this issue</w:t>
      </w:r>
      <w:r w:rsidR="009758F2">
        <w:rPr>
          <w:rFonts w:cs="Times New Roman"/>
        </w:rPr>
        <w:t xml:space="preserve">, worth full to say that capitalizing on the efforts of supervision authorities would of real help to insurance companies to face this issue , for example </w:t>
      </w:r>
      <w:r w:rsidR="009758F2" w:rsidRPr="006D5AA2">
        <w:rPr>
          <w:rFonts w:cs="Times New Roman"/>
        </w:rPr>
        <w:t>Jordan Insurance Federation usually  organize seminars and conferences and training , conduct scientific researches and prepare  statistics and professional reports related to  insurance sector</w:t>
      </w:r>
      <w:r w:rsidR="00FB4884" w:rsidRPr="00BD3BE5">
        <w:rPr>
          <w:rFonts w:cs="Times New Roman"/>
        </w:rPr>
        <w:t>.</w:t>
      </w:r>
      <w:r w:rsidR="00C20321">
        <w:rPr>
          <w:rFonts w:cs="Times New Roman"/>
        </w:rPr>
        <w:t xml:space="preserve"> </w:t>
      </w:r>
      <w:r w:rsidR="00FB4884" w:rsidRPr="00BD3BE5">
        <w:rPr>
          <w:rFonts w:cs="Times New Roman"/>
        </w:rPr>
        <w:t>Furthermore, it is recommended to the researcher</w:t>
      </w:r>
      <w:r w:rsidR="009758F2">
        <w:rPr>
          <w:rFonts w:cs="Times New Roman"/>
        </w:rPr>
        <w:t>s</w:t>
      </w:r>
      <w:r w:rsidR="00FB4884" w:rsidRPr="00BD3BE5">
        <w:rPr>
          <w:rFonts w:cs="Times New Roman"/>
        </w:rPr>
        <w:t xml:space="preserve"> to focus their efforts toward deeper study and analysis related to the insurance fraud in Jordan.</w:t>
      </w:r>
    </w:p>
    <w:p w:rsidR="008C1D9D" w:rsidRPr="00BD3BE5" w:rsidRDefault="008C1D9D" w:rsidP="008F1EEE">
      <w:pPr>
        <w:bidi w:val="0"/>
        <w:spacing w:after="200" w:line="240" w:lineRule="auto"/>
        <w:rPr>
          <w:b/>
          <w:bCs/>
          <w:lang w:bidi="ar-JO"/>
        </w:rPr>
      </w:pPr>
    </w:p>
    <w:p w:rsidR="00726F3D" w:rsidRPr="00BD3BE5" w:rsidRDefault="00726F3D" w:rsidP="008F1EEE">
      <w:pPr>
        <w:bidi w:val="0"/>
        <w:spacing w:line="240" w:lineRule="auto"/>
        <w:rPr>
          <w:rFonts w:cs="Times-Bold"/>
          <w:b/>
          <w:bCs/>
        </w:rPr>
      </w:pPr>
      <w:r w:rsidRPr="00BD3BE5">
        <w:rPr>
          <w:rFonts w:cs="Times-Bold"/>
          <w:b/>
          <w:bCs/>
        </w:rPr>
        <w:t>References</w:t>
      </w:r>
    </w:p>
    <w:p w:rsidR="00142551" w:rsidRPr="00BC7ED4" w:rsidRDefault="00142551" w:rsidP="00BC7ED4">
      <w:pPr>
        <w:autoSpaceDE w:val="0"/>
        <w:autoSpaceDN w:val="0"/>
        <w:bidi w:val="0"/>
        <w:adjustRightInd w:val="0"/>
        <w:spacing w:after="0" w:line="240" w:lineRule="auto"/>
        <w:ind w:left="450" w:hanging="450"/>
        <w:jc w:val="both"/>
        <w:rPr>
          <w:rFonts w:cs="TimesNewRoman"/>
          <w:sz w:val="20"/>
          <w:szCs w:val="20"/>
        </w:rPr>
      </w:pPr>
      <w:r w:rsidRPr="00BC7ED4">
        <w:rPr>
          <w:rFonts w:cs="Calibri"/>
        </w:rPr>
        <w:t xml:space="preserve">Al rawashdeh,F and </w:t>
      </w:r>
      <w:proofErr w:type="spellStart"/>
      <w:r w:rsidRPr="00BC7ED4">
        <w:rPr>
          <w:rFonts w:cs="Calibri"/>
        </w:rPr>
        <w:t>Smadi</w:t>
      </w:r>
      <w:proofErr w:type="spellEnd"/>
      <w:r w:rsidRPr="00BC7ED4">
        <w:rPr>
          <w:rFonts w:cs="Calibri"/>
        </w:rPr>
        <w:t xml:space="preserve">  Z, (2012) The Impact of Medical Services Provided to Beneficiaries on the Efficiency of, International Management Review Vol. 8 No.</w:t>
      </w:r>
    </w:p>
    <w:p w:rsidR="00142551" w:rsidRPr="00BC7ED4" w:rsidRDefault="00142551" w:rsidP="00BC7ED4">
      <w:pPr>
        <w:autoSpaceDE w:val="0"/>
        <w:autoSpaceDN w:val="0"/>
        <w:bidi w:val="0"/>
        <w:adjustRightInd w:val="0"/>
        <w:spacing w:after="0" w:line="240" w:lineRule="auto"/>
        <w:ind w:left="450" w:hanging="450"/>
        <w:jc w:val="both"/>
        <w:rPr>
          <w:rFonts w:cs="Calibri"/>
        </w:rPr>
      </w:pPr>
      <w:r w:rsidRPr="00BC7ED4">
        <w:rPr>
          <w:rFonts w:cs="Calibri"/>
        </w:rPr>
        <w:t>Albrecht, W. S., Albrecht, C. O., Albrecht, C. C., &amp;</w:t>
      </w:r>
      <w:proofErr w:type="spellStart"/>
      <w:r w:rsidRPr="00BC7ED4">
        <w:rPr>
          <w:rFonts w:cs="Calibri"/>
        </w:rPr>
        <w:t>Zimbelman</w:t>
      </w:r>
      <w:proofErr w:type="spellEnd"/>
      <w:r w:rsidRPr="00BC7ED4">
        <w:rPr>
          <w:rFonts w:cs="Calibri"/>
        </w:rPr>
        <w:t xml:space="preserve">, M. O. (2012). Fraud Examination. Mason, OH: South Western, </w:t>
      </w:r>
      <w:proofErr w:type="spellStart"/>
      <w:r w:rsidRPr="00BC7ED4">
        <w:rPr>
          <w:rFonts w:cs="Calibri"/>
        </w:rPr>
        <w:t>Cengage</w:t>
      </w:r>
      <w:proofErr w:type="spellEnd"/>
      <w:r w:rsidRPr="00BC7ED4">
        <w:rPr>
          <w:rFonts w:cs="Calibri"/>
        </w:rPr>
        <w:t xml:space="preserve"> Learning.</w:t>
      </w:r>
    </w:p>
    <w:p w:rsidR="00142551" w:rsidRPr="00BC7ED4" w:rsidRDefault="00142551" w:rsidP="00BC7ED4">
      <w:pPr>
        <w:autoSpaceDE w:val="0"/>
        <w:autoSpaceDN w:val="0"/>
        <w:bidi w:val="0"/>
        <w:adjustRightInd w:val="0"/>
        <w:spacing w:after="0" w:line="240" w:lineRule="auto"/>
        <w:ind w:left="450" w:hanging="450"/>
        <w:rPr>
          <w:rFonts w:cs="Calibri"/>
        </w:rPr>
      </w:pPr>
      <w:r w:rsidRPr="00BC7ED4">
        <w:rPr>
          <w:rFonts w:cs="Calibri"/>
        </w:rPr>
        <w:t xml:space="preserve">Association of British Insurers – ABI (2003). Retrieved from www.abi.org.uk/newsreleases </w:t>
      </w:r>
    </w:p>
    <w:p w:rsidR="00142551" w:rsidRPr="00BC7ED4" w:rsidRDefault="00142551" w:rsidP="00BC7ED4">
      <w:pPr>
        <w:autoSpaceDE w:val="0"/>
        <w:autoSpaceDN w:val="0"/>
        <w:bidi w:val="0"/>
        <w:adjustRightInd w:val="0"/>
        <w:spacing w:after="0" w:line="240" w:lineRule="auto"/>
        <w:ind w:left="450" w:hanging="450"/>
        <w:rPr>
          <w:rFonts w:cs="Calibri"/>
        </w:rPr>
      </w:pPr>
      <w:r w:rsidRPr="00BC7ED4">
        <w:rPr>
          <w:rFonts w:cs="Calibri"/>
        </w:rPr>
        <w:t xml:space="preserve">Association of British Insurers – ABI (2005). Retrieved from www.abi.org.uk/newsreleases </w:t>
      </w:r>
    </w:p>
    <w:p w:rsidR="00142551" w:rsidRPr="00BC7ED4" w:rsidRDefault="00142551" w:rsidP="00BC7ED4">
      <w:pPr>
        <w:autoSpaceDE w:val="0"/>
        <w:autoSpaceDN w:val="0"/>
        <w:bidi w:val="0"/>
        <w:adjustRightInd w:val="0"/>
        <w:spacing w:after="0" w:line="240" w:lineRule="auto"/>
        <w:ind w:left="450" w:hanging="450"/>
        <w:rPr>
          <w:rFonts w:cs="Calibri"/>
        </w:rPr>
      </w:pPr>
      <w:r w:rsidRPr="00BC7ED4">
        <w:rPr>
          <w:rFonts w:cs="Calibri"/>
        </w:rPr>
        <w:t xml:space="preserve">Association of British Insurers – ABI (2006). Retrieved from www.abi.org.uk/newsreleases </w:t>
      </w:r>
    </w:p>
    <w:p w:rsidR="00142551" w:rsidRPr="00BC7ED4" w:rsidRDefault="00142551" w:rsidP="00BC7ED4">
      <w:pPr>
        <w:autoSpaceDE w:val="0"/>
        <w:autoSpaceDN w:val="0"/>
        <w:bidi w:val="0"/>
        <w:adjustRightInd w:val="0"/>
        <w:spacing w:after="0" w:line="240" w:lineRule="auto"/>
        <w:ind w:left="450" w:hanging="450"/>
        <w:rPr>
          <w:rFonts w:cs="Calibri"/>
        </w:rPr>
      </w:pPr>
      <w:r w:rsidRPr="00BC7ED4">
        <w:rPr>
          <w:rFonts w:cs="Calibri"/>
        </w:rPr>
        <w:t xml:space="preserve">Association of British Insurers – ABI (2012). Retrieved from www.abi.org.uk/newsreleases </w:t>
      </w:r>
    </w:p>
    <w:p w:rsidR="00142551" w:rsidRPr="00142551" w:rsidRDefault="00142551" w:rsidP="00BC7ED4">
      <w:pPr>
        <w:pStyle w:val="Default"/>
        <w:ind w:left="450" w:hanging="450"/>
        <w:rPr>
          <w:rFonts w:asciiTheme="minorHAnsi" w:hAnsiTheme="minorHAnsi" w:cs="Calibri"/>
          <w:color w:val="auto"/>
          <w:sz w:val="22"/>
          <w:szCs w:val="22"/>
        </w:rPr>
      </w:pPr>
      <w:r w:rsidRPr="00142551">
        <w:rPr>
          <w:rFonts w:asciiTheme="minorHAnsi" w:hAnsiTheme="minorHAnsi" w:cs="Calibri"/>
          <w:color w:val="auto"/>
          <w:sz w:val="22"/>
          <w:szCs w:val="22"/>
        </w:rPr>
        <w:t>Association of British Insurers (2012) No Hiding Place. London: Association of British Insurers.</w:t>
      </w:r>
    </w:p>
    <w:p w:rsidR="00142551" w:rsidRPr="00BC7ED4" w:rsidRDefault="00142551" w:rsidP="00BC7ED4">
      <w:pPr>
        <w:autoSpaceDE w:val="0"/>
        <w:autoSpaceDN w:val="0"/>
        <w:bidi w:val="0"/>
        <w:adjustRightInd w:val="0"/>
        <w:spacing w:after="0" w:line="240" w:lineRule="auto"/>
        <w:ind w:left="450" w:hanging="450"/>
        <w:rPr>
          <w:rFonts w:cs="Calibri"/>
        </w:rPr>
      </w:pPr>
      <w:proofErr w:type="spellStart"/>
      <w:r w:rsidRPr="00BC7ED4">
        <w:rPr>
          <w:rFonts w:cs="Calibri"/>
        </w:rPr>
        <w:t>Belhadji</w:t>
      </w:r>
      <w:proofErr w:type="spellEnd"/>
      <w:r w:rsidRPr="00BC7ED4">
        <w:rPr>
          <w:rFonts w:cs="Calibri"/>
        </w:rPr>
        <w:t xml:space="preserve">, B., G. Dionne, and F. </w:t>
      </w:r>
      <w:proofErr w:type="spellStart"/>
      <w:r w:rsidRPr="00BC7ED4">
        <w:rPr>
          <w:rFonts w:cs="Calibri"/>
        </w:rPr>
        <w:t>Tarkhani</w:t>
      </w:r>
      <w:proofErr w:type="spellEnd"/>
      <w:r w:rsidRPr="00BC7ED4">
        <w:rPr>
          <w:rFonts w:cs="Calibri"/>
        </w:rPr>
        <w:t xml:space="preserve">, (2000), A Model for the Detection of Insurance Fraud, </w:t>
      </w:r>
      <w:proofErr w:type="spellStart"/>
      <w:r w:rsidRPr="00BC7ED4">
        <w:rPr>
          <w:rFonts w:cs="Calibri"/>
        </w:rPr>
        <w:t>GenevaPapers</w:t>
      </w:r>
      <w:proofErr w:type="spellEnd"/>
      <w:r w:rsidRPr="00BC7ED4">
        <w:rPr>
          <w:rFonts w:cs="Calibri"/>
        </w:rPr>
        <w:t xml:space="preserve"> on Risk and Insurance - Issues and Practice, 25(4):517–538.</w:t>
      </w:r>
    </w:p>
    <w:p w:rsidR="00142551" w:rsidRPr="00BC7ED4" w:rsidRDefault="00142551" w:rsidP="00BC7ED4">
      <w:pPr>
        <w:bidi w:val="0"/>
        <w:spacing w:after="0" w:line="240" w:lineRule="auto"/>
        <w:ind w:left="450" w:hanging="450"/>
        <w:rPr>
          <w:rFonts w:cs="Calibri"/>
        </w:rPr>
      </w:pPr>
      <w:r w:rsidRPr="00BC7ED4">
        <w:rPr>
          <w:rFonts w:cs="Calibri"/>
        </w:rPr>
        <w:t xml:space="preserve">Button, M., Lewis, C. and </w:t>
      </w:r>
      <w:proofErr w:type="spellStart"/>
      <w:r w:rsidRPr="00BC7ED4">
        <w:rPr>
          <w:rFonts w:cs="Calibri"/>
        </w:rPr>
        <w:t>Tapley</w:t>
      </w:r>
      <w:proofErr w:type="spellEnd"/>
      <w:r w:rsidRPr="00BC7ED4">
        <w:rPr>
          <w:rFonts w:cs="Calibri"/>
        </w:rPr>
        <w:t>, J. (2013) Not a Victimless Crime: The Impact of Fraud on Individual Victims and their Families. Security Journal, 27, 36-54, doi:10.1057/sj.2012.11.</w:t>
      </w:r>
    </w:p>
    <w:p w:rsidR="00142551" w:rsidRPr="00BC7ED4" w:rsidRDefault="00142551" w:rsidP="00BC7ED4">
      <w:pPr>
        <w:autoSpaceDE w:val="0"/>
        <w:autoSpaceDN w:val="0"/>
        <w:bidi w:val="0"/>
        <w:adjustRightInd w:val="0"/>
        <w:spacing w:after="0" w:line="240" w:lineRule="auto"/>
        <w:ind w:left="450" w:hanging="450"/>
        <w:jc w:val="mediumKashida"/>
        <w:rPr>
          <w:rFonts w:cs="Calibri"/>
        </w:rPr>
      </w:pPr>
      <w:r w:rsidRPr="00BC7ED4">
        <w:rPr>
          <w:rFonts w:cs="Calibri"/>
        </w:rPr>
        <w:t>Clarke, M. (1989) Insurance fraud, The British Journal of Criminology, 29, 1–20.</w:t>
      </w:r>
    </w:p>
    <w:p w:rsidR="00142551" w:rsidRPr="00BC7ED4" w:rsidRDefault="00142551" w:rsidP="00BC7ED4">
      <w:pPr>
        <w:autoSpaceDE w:val="0"/>
        <w:autoSpaceDN w:val="0"/>
        <w:bidi w:val="0"/>
        <w:adjustRightInd w:val="0"/>
        <w:spacing w:after="0" w:line="240" w:lineRule="auto"/>
        <w:ind w:left="450" w:hanging="450"/>
        <w:rPr>
          <w:rFonts w:cs="Calibri"/>
        </w:rPr>
      </w:pPr>
      <w:r w:rsidRPr="00BC7ED4">
        <w:rPr>
          <w:rFonts w:cs="Calibri"/>
        </w:rPr>
        <w:t xml:space="preserve">Coalition Against Insurance Fraud(CAIF), (2007). Insurance Fraud Hall Of Shame: Mother Almost Blamed For Son's Arson. Retrieved From </w:t>
      </w:r>
      <w:hyperlink r:id="rId12" w:history="1">
        <w:r w:rsidRPr="00BC7ED4">
          <w:rPr>
            <w:rFonts w:cs="Calibri"/>
          </w:rPr>
          <w:t>Http://Www.Insurancefraud.Org/Article.Lasso?Recid=1532</w:t>
        </w:r>
      </w:hyperlink>
    </w:p>
    <w:p w:rsidR="00142551" w:rsidRPr="00BC7ED4" w:rsidRDefault="00142551" w:rsidP="00BC7ED4">
      <w:pPr>
        <w:autoSpaceDE w:val="0"/>
        <w:autoSpaceDN w:val="0"/>
        <w:bidi w:val="0"/>
        <w:adjustRightInd w:val="0"/>
        <w:spacing w:after="0" w:line="240" w:lineRule="auto"/>
        <w:ind w:left="450" w:hanging="450"/>
        <w:rPr>
          <w:rFonts w:cs="Calibri"/>
        </w:rPr>
      </w:pPr>
      <w:r w:rsidRPr="00BC7ED4">
        <w:rPr>
          <w:rFonts w:cs="Calibri"/>
        </w:rPr>
        <w:t xml:space="preserve">Coalition Against Insurance Fraud, (2012). “Go Figure: Fraud Data,” accessed at </w:t>
      </w:r>
      <w:hyperlink r:id="rId13" w:history="1">
        <w:r w:rsidRPr="00BC7ED4">
          <w:rPr>
            <w:rFonts w:cs="Calibri"/>
          </w:rPr>
          <w:t>www.insurancefraud.org/stats.htm</w:t>
        </w:r>
      </w:hyperlink>
    </w:p>
    <w:p w:rsidR="00142551" w:rsidRPr="00BC7ED4" w:rsidRDefault="00142551" w:rsidP="00BC7ED4">
      <w:pPr>
        <w:autoSpaceDE w:val="0"/>
        <w:autoSpaceDN w:val="0"/>
        <w:bidi w:val="0"/>
        <w:adjustRightInd w:val="0"/>
        <w:spacing w:after="0" w:line="240" w:lineRule="auto"/>
        <w:ind w:left="450" w:hanging="450"/>
        <w:rPr>
          <w:rFonts w:cs="Calibri"/>
        </w:rPr>
      </w:pPr>
      <w:r w:rsidRPr="00BC7ED4">
        <w:rPr>
          <w:rFonts w:cs="Calibri"/>
        </w:rPr>
        <w:t>Crocker, K. and S. Tennyson, (2002), Insurance Fraud and Optimal Claims Settlement Strategies, Journal of Law and Economics, 45(2):469–507.</w:t>
      </w:r>
    </w:p>
    <w:p w:rsidR="00142551" w:rsidRPr="00BC7ED4" w:rsidRDefault="00142551" w:rsidP="00BC7ED4">
      <w:pPr>
        <w:autoSpaceDE w:val="0"/>
        <w:autoSpaceDN w:val="0"/>
        <w:bidi w:val="0"/>
        <w:adjustRightInd w:val="0"/>
        <w:spacing w:after="0" w:line="240" w:lineRule="auto"/>
        <w:ind w:left="450" w:hanging="450"/>
        <w:rPr>
          <w:rFonts w:cs="Calibri"/>
        </w:rPr>
      </w:pPr>
      <w:r w:rsidRPr="00BC7ED4">
        <w:rPr>
          <w:rFonts w:cs="Calibri"/>
        </w:rPr>
        <w:t>Dean, D. H. (2004) ‘Perception of the Ethicality of Consumer Insurance Claim fraud’. Journal of Business Ethics, 54 :67-79.</w:t>
      </w:r>
    </w:p>
    <w:p w:rsidR="00142551" w:rsidRPr="00BC7ED4" w:rsidRDefault="00142551" w:rsidP="00BC7ED4">
      <w:pPr>
        <w:autoSpaceDE w:val="0"/>
        <w:autoSpaceDN w:val="0"/>
        <w:bidi w:val="0"/>
        <w:adjustRightInd w:val="0"/>
        <w:spacing w:after="0" w:line="240" w:lineRule="auto"/>
        <w:ind w:left="450" w:hanging="450"/>
        <w:jc w:val="mediumKashida"/>
        <w:rPr>
          <w:rFonts w:cs="Calibri"/>
        </w:rPr>
      </w:pPr>
      <w:proofErr w:type="spellStart"/>
      <w:r w:rsidRPr="00BC7ED4">
        <w:rPr>
          <w:rFonts w:cs="Calibri"/>
        </w:rPr>
        <w:t>Derrig</w:t>
      </w:r>
      <w:proofErr w:type="spellEnd"/>
      <w:r w:rsidRPr="00BC7ED4">
        <w:rPr>
          <w:rFonts w:cs="Calibri"/>
        </w:rPr>
        <w:t xml:space="preserve">, R. A. (2002) Insurance fraud, Journal of Risk and Insurance, 69, 271–87. </w:t>
      </w:r>
    </w:p>
    <w:p w:rsidR="00142551" w:rsidRPr="00BC7ED4" w:rsidRDefault="00142551" w:rsidP="00BC7ED4">
      <w:pPr>
        <w:autoSpaceDE w:val="0"/>
        <w:autoSpaceDN w:val="0"/>
        <w:bidi w:val="0"/>
        <w:adjustRightInd w:val="0"/>
        <w:spacing w:after="0" w:line="240" w:lineRule="auto"/>
        <w:ind w:left="450" w:hanging="450"/>
        <w:rPr>
          <w:rFonts w:cs="Calibri"/>
        </w:rPr>
      </w:pPr>
      <w:proofErr w:type="spellStart"/>
      <w:r w:rsidRPr="00BC7ED4">
        <w:rPr>
          <w:rFonts w:cs="Calibri"/>
        </w:rPr>
        <w:lastRenderedPageBreak/>
        <w:t>Derrig</w:t>
      </w:r>
      <w:proofErr w:type="spellEnd"/>
      <w:r w:rsidRPr="00BC7ED4">
        <w:rPr>
          <w:rFonts w:cs="Calibri"/>
        </w:rPr>
        <w:t xml:space="preserve">, R. A., D. J. Johnston, and E. A. </w:t>
      </w:r>
      <w:proofErr w:type="spellStart"/>
      <w:r w:rsidRPr="00BC7ED4">
        <w:rPr>
          <w:rFonts w:cs="Calibri"/>
        </w:rPr>
        <w:t>Sprinkel</w:t>
      </w:r>
      <w:proofErr w:type="spellEnd"/>
      <w:r w:rsidRPr="00BC7ED4">
        <w:rPr>
          <w:rFonts w:cs="Calibri"/>
        </w:rPr>
        <w:t>, (2006), Auto Insurance Fraud: Measurements and Efforts to combat it, Risk Management and Insurance Review, 9(2):109–130.</w:t>
      </w:r>
    </w:p>
    <w:p w:rsidR="00142551" w:rsidRPr="00BC7ED4" w:rsidRDefault="00142551" w:rsidP="00BC7ED4">
      <w:pPr>
        <w:bidi w:val="0"/>
        <w:spacing w:after="0" w:line="240" w:lineRule="auto"/>
        <w:ind w:left="450" w:hanging="450"/>
        <w:rPr>
          <w:rFonts w:cs="Calibri"/>
        </w:rPr>
      </w:pPr>
      <w:r w:rsidRPr="00BC7ED4">
        <w:rPr>
          <w:rFonts w:cs="Calibri"/>
        </w:rPr>
        <w:t xml:space="preserve">Dionne Georges&amp; Wang </w:t>
      </w:r>
      <w:proofErr w:type="spellStart"/>
      <w:r w:rsidRPr="00BC7ED4">
        <w:rPr>
          <w:rFonts w:cs="Calibri"/>
        </w:rPr>
        <w:t>Kili</w:t>
      </w:r>
      <w:proofErr w:type="spellEnd"/>
      <w:r w:rsidRPr="00BC7ED4">
        <w:rPr>
          <w:rFonts w:cs="Calibri"/>
        </w:rPr>
        <w:t>,(2013), Does insurance fraud in automobile theft insurance fluctuate with the business cycle? J Risk Uncertain ,47:67–92</w:t>
      </w:r>
    </w:p>
    <w:p w:rsidR="00142551" w:rsidRPr="00BC7ED4" w:rsidRDefault="00142551" w:rsidP="00BC7ED4">
      <w:pPr>
        <w:autoSpaceDE w:val="0"/>
        <w:autoSpaceDN w:val="0"/>
        <w:bidi w:val="0"/>
        <w:adjustRightInd w:val="0"/>
        <w:spacing w:after="0" w:line="240" w:lineRule="auto"/>
        <w:ind w:left="450" w:hanging="450"/>
        <w:rPr>
          <w:rFonts w:cs="Calibri"/>
        </w:rPr>
      </w:pPr>
      <w:r w:rsidRPr="00BC7ED4">
        <w:rPr>
          <w:rFonts w:cs="Calibri"/>
        </w:rPr>
        <w:t xml:space="preserve">Dionne, G., F. </w:t>
      </w:r>
      <w:proofErr w:type="spellStart"/>
      <w:r w:rsidRPr="00BC7ED4">
        <w:rPr>
          <w:rFonts w:cs="Calibri"/>
        </w:rPr>
        <w:t>Giuliano</w:t>
      </w:r>
      <w:proofErr w:type="spellEnd"/>
      <w:r w:rsidRPr="00BC7ED4">
        <w:rPr>
          <w:rFonts w:cs="Calibri"/>
        </w:rPr>
        <w:t>, and P. Picard, (2009), Optimal Auditing with Scoring: Theory and Application to Insurance Fraud, Management Science, 55(1):58–70.</w:t>
      </w:r>
    </w:p>
    <w:p w:rsidR="00142551" w:rsidRPr="00BC7ED4" w:rsidRDefault="00142551" w:rsidP="00BC7ED4">
      <w:pPr>
        <w:autoSpaceDE w:val="0"/>
        <w:autoSpaceDN w:val="0"/>
        <w:bidi w:val="0"/>
        <w:adjustRightInd w:val="0"/>
        <w:spacing w:after="0" w:line="240" w:lineRule="auto"/>
        <w:ind w:left="450" w:right="-180" w:hanging="450"/>
        <w:jc w:val="both"/>
        <w:rPr>
          <w:rFonts w:cs="Calibri"/>
        </w:rPr>
      </w:pPr>
      <w:r w:rsidRPr="00BC7ED4">
        <w:rPr>
          <w:rFonts w:cs="Calibri"/>
        </w:rPr>
        <w:t>DORNSTEIN, K., (1996), Accidentally, on Purpose: the Making of a Personal Injury Underworld in America. New York: St. Martin’s Press.</w:t>
      </w:r>
    </w:p>
    <w:p w:rsidR="00142551" w:rsidRPr="00BC7ED4" w:rsidRDefault="00142551" w:rsidP="00BC7ED4">
      <w:pPr>
        <w:autoSpaceDE w:val="0"/>
        <w:autoSpaceDN w:val="0"/>
        <w:bidi w:val="0"/>
        <w:adjustRightInd w:val="0"/>
        <w:spacing w:after="0" w:line="240" w:lineRule="auto"/>
        <w:ind w:left="450" w:hanging="450"/>
        <w:jc w:val="lowKashida"/>
        <w:rPr>
          <w:rFonts w:cs="Calibri"/>
        </w:rPr>
      </w:pPr>
      <w:r w:rsidRPr="00BC7ED4">
        <w:rPr>
          <w:rFonts w:cs="Calibri"/>
        </w:rPr>
        <w:t>FBI — Insurance Fraud". Fbi.gov. accessedNov,2016</w:t>
      </w:r>
    </w:p>
    <w:p w:rsidR="00142551" w:rsidRPr="00BC7ED4" w:rsidRDefault="00C4716B" w:rsidP="00BC7ED4">
      <w:pPr>
        <w:shd w:val="clear" w:color="auto" w:fill="FFFFFF"/>
        <w:bidi w:val="0"/>
        <w:spacing w:after="0" w:line="240" w:lineRule="auto"/>
        <w:ind w:left="450" w:hanging="450"/>
        <w:rPr>
          <w:rFonts w:cs="Calibri"/>
        </w:rPr>
      </w:pPr>
      <w:hyperlink r:id="rId14" w:history="1">
        <w:proofErr w:type="spellStart"/>
        <w:r w:rsidR="00142551" w:rsidRPr="00BC7ED4">
          <w:rPr>
            <w:rFonts w:cs="Calibri"/>
          </w:rPr>
          <w:t>Gabaldón</w:t>
        </w:r>
        <w:proofErr w:type="spellEnd"/>
        <w:r w:rsidR="00142551" w:rsidRPr="00BC7ED4">
          <w:rPr>
            <w:rFonts w:cs="Calibri"/>
          </w:rPr>
          <w:t>, I M</w:t>
        </w:r>
      </w:hyperlink>
      <w:r w:rsidR="00142551" w:rsidRPr="00BC7ED4">
        <w:rPr>
          <w:rFonts w:cs="Calibri"/>
        </w:rPr>
        <w:t xml:space="preserve"> and </w:t>
      </w:r>
      <w:hyperlink r:id="rId15" w:history="1">
        <w:proofErr w:type="spellStart"/>
        <w:r w:rsidR="00142551" w:rsidRPr="00BC7ED4">
          <w:rPr>
            <w:rFonts w:cs="Calibri"/>
          </w:rPr>
          <w:t>Vázquez</w:t>
        </w:r>
        <w:proofErr w:type="spellEnd"/>
        <w:r w:rsidR="00142551" w:rsidRPr="00BC7ED4">
          <w:rPr>
            <w:rFonts w:cs="Calibri"/>
          </w:rPr>
          <w:t xml:space="preserve"> H. F. J</w:t>
        </w:r>
      </w:hyperlink>
      <w:r w:rsidR="00142551" w:rsidRPr="00BC7ED4">
        <w:rPr>
          <w:rFonts w:cs="Calibri"/>
        </w:rPr>
        <w:t xml:space="preserve">. and </w:t>
      </w:r>
      <w:hyperlink r:id="rId16" w:history="1">
        <w:r w:rsidR="00142551" w:rsidRPr="00BC7ED4">
          <w:rPr>
            <w:rFonts w:cs="Calibri"/>
          </w:rPr>
          <w:t>Watt, R.</w:t>
        </w:r>
      </w:hyperlink>
      <w:r w:rsidR="00142551" w:rsidRPr="00BC7ED4">
        <w:rPr>
          <w:rFonts w:cs="Calibri"/>
        </w:rPr>
        <w:t xml:space="preserve">(2014), The Effect of Contract Type on Insurance Fraud. </w:t>
      </w:r>
      <w:hyperlink r:id="rId17" w:history="1">
        <w:r w:rsidR="00142551" w:rsidRPr="00BC7ED4">
          <w:rPr>
            <w:rFonts w:cs="Calibri"/>
          </w:rPr>
          <w:t>Journal of Insurance Regulation</w:t>
        </w:r>
      </w:hyperlink>
      <w:r w:rsidR="00142551" w:rsidRPr="00BC7ED4">
        <w:rPr>
          <w:rFonts w:cs="Calibri"/>
        </w:rPr>
        <w:t xml:space="preserve">. Vol. 33, p197-230. 34p. </w:t>
      </w:r>
    </w:p>
    <w:p w:rsidR="00142551" w:rsidRPr="00BC7ED4" w:rsidRDefault="00142551" w:rsidP="00BC7ED4">
      <w:pPr>
        <w:bidi w:val="0"/>
        <w:spacing w:after="0" w:line="240" w:lineRule="auto"/>
        <w:ind w:left="450" w:hanging="450"/>
        <w:rPr>
          <w:rFonts w:cs="Calibri"/>
        </w:rPr>
      </w:pPr>
      <w:r w:rsidRPr="00BC7ED4">
        <w:rPr>
          <w:rFonts w:cs="Calibri"/>
        </w:rPr>
        <w:t>Gill, K.M., Woolley, A. and Gill, M.L. (1994) Insurance Fraud: the Business as a Victim? In M.L. Gill, (</w:t>
      </w:r>
      <w:proofErr w:type="spellStart"/>
      <w:r w:rsidRPr="00BC7ED4">
        <w:rPr>
          <w:rFonts w:cs="Calibri"/>
        </w:rPr>
        <w:t>ed</w:t>
      </w:r>
      <w:proofErr w:type="spellEnd"/>
      <w:r w:rsidRPr="00BC7ED4">
        <w:rPr>
          <w:rFonts w:cs="Calibri"/>
        </w:rPr>
        <w:t>) Crime at Work: Studies in Security and Crime Prevention. Leicester: Perpetuity Press.</w:t>
      </w:r>
    </w:p>
    <w:p w:rsidR="00142551" w:rsidRPr="00BC7ED4" w:rsidRDefault="00142551" w:rsidP="00BC7ED4">
      <w:pPr>
        <w:bidi w:val="0"/>
        <w:spacing w:after="0" w:line="240" w:lineRule="auto"/>
        <w:ind w:left="450" w:hanging="450"/>
        <w:rPr>
          <w:rFonts w:cs="Calibri"/>
        </w:rPr>
      </w:pPr>
      <w:r w:rsidRPr="00BC7ED4">
        <w:rPr>
          <w:rFonts w:cs="Calibri"/>
        </w:rPr>
        <w:t>Gill, Karen Ann, (2014)thesis, Insurance fraud : causes, characteristics and prevention, University of Leicester.</w:t>
      </w:r>
    </w:p>
    <w:p w:rsidR="00142551" w:rsidRPr="00BC7ED4" w:rsidRDefault="00C4716B" w:rsidP="00BC7ED4">
      <w:pPr>
        <w:autoSpaceDE w:val="0"/>
        <w:autoSpaceDN w:val="0"/>
        <w:bidi w:val="0"/>
        <w:adjustRightInd w:val="0"/>
        <w:spacing w:after="0" w:line="240" w:lineRule="auto"/>
        <w:ind w:left="450" w:hanging="450"/>
        <w:rPr>
          <w:rFonts w:cs="Calibri"/>
        </w:rPr>
      </w:pPr>
      <w:hyperlink r:id="rId18" w:history="1">
        <w:r w:rsidR="00142551" w:rsidRPr="00BC7ED4">
          <w:rPr>
            <w:rFonts w:cs="Calibri"/>
          </w:rPr>
          <w:t>International Association of Insurance Supervisors, (2006) –</w:t>
        </w:r>
      </w:hyperlink>
      <w:r w:rsidR="00142551" w:rsidRPr="00BC7ED4">
        <w:rPr>
          <w:rFonts w:cs="Calibri"/>
        </w:rPr>
        <w:t>www.isisweb.org.</w:t>
      </w:r>
    </w:p>
    <w:p w:rsidR="00142551" w:rsidRPr="00BC7ED4" w:rsidRDefault="00142551" w:rsidP="00BC7ED4">
      <w:pPr>
        <w:bidi w:val="0"/>
        <w:spacing w:after="0" w:line="240" w:lineRule="auto"/>
        <w:ind w:left="450" w:hanging="450"/>
        <w:rPr>
          <w:rFonts w:cs="Calibri"/>
        </w:rPr>
      </w:pPr>
      <w:r w:rsidRPr="00BC7ED4">
        <w:rPr>
          <w:rFonts w:cs="Calibri"/>
        </w:rPr>
        <w:t>Jordan Insurance Federation in(2016), the report of the insurance business in Jordan in 2015</w:t>
      </w:r>
    </w:p>
    <w:p w:rsidR="00142551" w:rsidRPr="00BC7ED4" w:rsidRDefault="00142551" w:rsidP="00BC7ED4">
      <w:pPr>
        <w:autoSpaceDE w:val="0"/>
        <w:autoSpaceDN w:val="0"/>
        <w:bidi w:val="0"/>
        <w:adjustRightInd w:val="0"/>
        <w:spacing w:after="0" w:line="240" w:lineRule="auto"/>
        <w:ind w:left="450" w:hanging="450"/>
        <w:rPr>
          <w:rFonts w:cs="Calibri"/>
        </w:rPr>
      </w:pPr>
      <w:proofErr w:type="spellStart"/>
      <w:r w:rsidRPr="00BC7ED4">
        <w:rPr>
          <w:rFonts w:cs="Calibri"/>
        </w:rPr>
        <w:t>Krawczyk</w:t>
      </w:r>
      <w:proofErr w:type="spellEnd"/>
      <w:r w:rsidRPr="00BC7ED4">
        <w:rPr>
          <w:rFonts w:cs="Calibri"/>
        </w:rPr>
        <w:t xml:space="preserve">, M. (2009). The Role Of Repetition And </w:t>
      </w:r>
      <w:proofErr w:type="spellStart"/>
      <w:r w:rsidRPr="00BC7ED4">
        <w:rPr>
          <w:rFonts w:cs="Calibri"/>
        </w:rPr>
        <w:t>Observability</w:t>
      </w:r>
      <w:proofErr w:type="spellEnd"/>
      <w:r w:rsidRPr="00BC7ED4">
        <w:rPr>
          <w:rFonts w:cs="Calibri"/>
        </w:rPr>
        <w:t xml:space="preserve"> In Deterring Insurance Fraud. The Geneva Risk And Insurance Review, 34(1), 74-87.</w:t>
      </w:r>
    </w:p>
    <w:p w:rsidR="00142551" w:rsidRPr="00BC7ED4" w:rsidRDefault="00142551" w:rsidP="00BC7ED4">
      <w:pPr>
        <w:autoSpaceDE w:val="0"/>
        <w:autoSpaceDN w:val="0"/>
        <w:bidi w:val="0"/>
        <w:adjustRightInd w:val="0"/>
        <w:spacing w:after="0" w:line="240" w:lineRule="auto"/>
        <w:ind w:left="450" w:hanging="450"/>
        <w:jc w:val="mediumKashida"/>
        <w:rPr>
          <w:rFonts w:cs="Calibri"/>
        </w:rPr>
      </w:pPr>
      <w:proofErr w:type="spellStart"/>
      <w:r w:rsidRPr="00BC7ED4">
        <w:rPr>
          <w:rFonts w:cs="Calibri"/>
        </w:rPr>
        <w:t>Kungwani</w:t>
      </w:r>
      <w:proofErr w:type="spellEnd"/>
      <w:r w:rsidRPr="00BC7ED4">
        <w:rPr>
          <w:rFonts w:cs="Calibri"/>
        </w:rPr>
        <w:t xml:space="preserve">, </w:t>
      </w:r>
      <w:proofErr w:type="spellStart"/>
      <w:r w:rsidRPr="00BC7ED4">
        <w:rPr>
          <w:rFonts w:cs="Calibri"/>
        </w:rPr>
        <w:t>Pooja</w:t>
      </w:r>
      <w:proofErr w:type="spellEnd"/>
      <w:r w:rsidRPr="00BC7ED4">
        <w:rPr>
          <w:rFonts w:cs="Calibri"/>
        </w:rPr>
        <w:t xml:space="preserve">, (2014), Risk management – An Analytical study, Journal of Business and Management. Volume 16, Issue 3. PP 83-89 </w:t>
      </w:r>
    </w:p>
    <w:p w:rsidR="00142551" w:rsidRPr="00142551" w:rsidRDefault="00142551" w:rsidP="00BC7ED4">
      <w:pPr>
        <w:pStyle w:val="Default"/>
        <w:ind w:left="450" w:hanging="450"/>
        <w:rPr>
          <w:rFonts w:asciiTheme="minorHAnsi" w:hAnsiTheme="minorHAnsi" w:cs="Calibri"/>
          <w:color w:val="auto"/>
          <w:sz w:val="22"/>
          <w:szCs w:val="22"/>
        </w:rPr>
      </w:pPr>
      <w:r w:rsidRPr="00142551">
        <w:rPr>
          <w:rFonts w:asciiTheme="minorHAnsi" w:hAnsiTheme="minorHAnsi" w:cs="Calibri"/>
          <w:color w:val="auto"/>
          <w:sz w:val="22"/>
          <w:szCs w:val="22"/>
        </w:rPr>
        <w:t>Levi, M. (2008) Organized Fraud and Organizing Frauds: Unpacking research on Networks and Organization. Criminology and Criminal Justice, 8,4, 389-419.</w:t>
      </w:r>
    </w:p>
    <w:p w:rsidR="00142551" w:rsidRPr="00BC7ED4" w:rsidRDefault="00142551" w:rsidP="00BC7ED4">
      <w:pPr>
        <w:autoSpaceDE w:val="0"/>
        <w:autoSpaceDN w:val="0"/>
        <w:bidi w:val="0"/>
        <w:adjustRightInd w:val="0"/>
        <w:spacing w:after="0" w:line="240" w:lineRule="auto"/>
        <w:ind w:left="450" w:hanging="450"/>
        <w:rPr>
          <w:rFonts w:cs="Calibri"/>
        </w:rPr>
      </w:pPr>
      <w:proofErr w:type="spellStart"/>
      <w:r w:rsidRPr="00BC7ED4">
        <w:rPr>
          <w:rFonts w:cs="Calibri"/>
        </w:rPr>
        <w:t>Minstery</w:t>
      </w:r>
      <w:proofErr w:type="spellEnd"/>
      <w:r w:rsidRPr="00BC7ED4">
        <w:rPr>
          <w:rFonts w:cs="Calibri"/>
        </w:rPr>
        <w:t xml:space="preserve"> of industry and trade and supplies, Insurance administration, Jordanian insurance sector results 2014.</w:t>
      </w:r>
    </w:p>
    <w:p w:rsidR="00142551" w:rsidRPr="00BC7ED4" w:rsidRDefault="00142551" w:rsidP="00BC7ED4">
      <w:pPr>
        <w:bidi w:val="0"/>
        <w:spacing w:after="0" w:line="240" w:lineRule="auto"/>
        <w:ind w:left="450" w:hanging="450"/>
        <w:rPr>
          <w:rFonts w:cs="Calibri"/>
        </w:rPr>
      </w:pPr>
      <w:proofErr w:type="spellStart"/>
      <w:r w:rsidRPr="00BC7ED4">
        <w:rPr>
          <w:rFonts w:cs="Calibri"/>
        </w:rPr>
        <w:t>Ojikutu</w:t>
      </w:r>
      <w:proofErr w:type="spellEnd"/>
      <w:r w:rsidRPr="00BC7ED4">
        <w:rPr>
          <w:rFonts w:cs="Calibri"/>
        </w:rPr>
        <w:t xml:space="preserve"> R. K., Yusuf T. O., and </w:t>
      </w:r>
      <w:proofErr w:type="spellStart"/>
      <w:r w:rsidRPr="00BC7ED4">
        <w:rPr>
          <w:rFonts w:cs="Calibri"/>
        </w:rPr>
        <w:t>Obalola</w:t>
      </w:r>
      <w:proofErr w:type="spellEnd"/>
      <w:r w:rsidRPr="00BC7ED4">
        <w:rPr>
          <w:rFonts w:cs="Calibri"/>
        </w:rPr>
        <w:t xml:space="preserve"> M. A .(2011) Attitude and Perception about Insurance Fraud in Lagos State, Nigeria, European Journal of Scientific Research Vol.57 No.4, pp.615-625</w:t>
      </w:r>
    </w:p>
    <w:p w:rsidR="00142551" w:rsidRPr="00142551" w:rsidRDefault="00142551" w:rsidP="00BC7ED4">
      <w:pPr>
        <w:pStyle w:val="Default"/>
        <w:ind w:left="450" w:hanging="450"/>
        <w:rPr>
          <w:rFonts w:asciiTheme="minorHAnsi" w:hAnsiTheme="minorHAnsi" w:cs="Calibri"/>
          <w:color w:val="auto"/>
          <w:sz w:val="22"/>
          <w:szCs w:val="22"/>
        </w:rPr>
      </w:pPr>
      <w:proofErr w:type="spellStart"/>
      <w:r w:rsidRPr="00142551">
        <w:rPr>
          <w:rFonts w:asciiTheme="minorHAnsi" w:hAnsiTheme="minorHAnsi" w:cs="Calibri"/>
          <w:color w:val="auto"/>
          <w:sz w:val="22"/>
          <w:szCs w:val="22"/>
        </w:rPr>
        <w:t>Palasinski</w:t>
      </w:r>
      <w:proofErr w:type="spellEnd"/>
      <w:r w:rsidRPr="00142551">
        <w:rPr>
          <w:rFonts w:asciiTheme="minorHAnsi" w:hAnsiTheme="minorHAnsi" w:cs="Calibri"/>
          <w:color w:val="auto"/>
          <w:sz w:val="22"/>
          <w:szCs w:val="22"/>
        </w:rPr>
        <w:t>, M. (2009) Testing Assumptions About Naivety in Insurance Fraud. Psychology, Crime &amp; Law, 15, 6, pp. 547 – 553</w:t>
      </w:r>
    </w:p>
    <w:p w:rsidR="00142551" w:rsidRPr="00BC7ED4" w:rsidRDefault="00142551" w:rsidP="00BC7ED4">
      <w:pPr>
        <w:autoSpaceDE w:val="0"/>
        <w:autoSpaceDN w:val="0"/>
        <w:bidi w:val="0"/>
        <w:adjustRightInd w:val="0"/>
        <w:spacing w:after="0" w:line="240" w:lineRule="auto"/>
        <w:ind w:left="450" w:hanging="450"/>
        <w:jc w:val="both"/>
        <w:rPr>
          <w:rFonts w:cs="Calibri"/>
        </w:rPr>
      </w:pPr>
      <w:proofErr w:type="spellStart"/>
      <w:r w:rsidRPr="00BC7ED4">
        <w:rPr>
          <w:rFonts w:cs="Calibri"/>
        </w:rPr>
        <w:t>Parver</w:t>
      </w:r>
      <w:proofErr w:type="spellEnd"/>
      <w:r w:rsidRPr="00BC7ED4">
        <w:rPr>
          <w:rFonts w:cs="Calibri"/>
        </w:rPr>
        <w:t>, C., and A. Goren, (2011). “Significant Details from the 2010 Health Care</w:t>
      </w:r>
      <w:r w:rsidR="00C20321">
        <w:rPr>
          <w:rFonts w:cs="Calibri"/>
        </w:rPr>
        <w:t xml:space="preserve"> </w:t>
      </w:r>
      <w:r w:rsidRPr="00BC7ED4">
        <w:rPr>
          <w:rFonts w:cs="Calibri"/>
        </w:rPr>
        <w:t>Fraud and Abuse Control Program Report,” Journal of Health Care Compliance, 13(3): 9–22.</w:t>
      </w:r>
    </w:p>
    <w:p w:rsidR="00142551" w:rsidRPr="00BC7ED4" w:rsidRDefault="00142551" w:rsidP="00BC7ED4">
      <w:pPr>
        <w:autoSpaceDE w:val="0"/>
        <w:autoSpaceDN w:val="0"/>
        <w:bidi w:val="0"/>
        <w:adjustRightInd w:val="0"/>
        <w:spacing w:after="0" w:line="240" w:lineRule="auto"/>
        <w:ind w:left="450" w:hanging="450"/>
        <w:jc w:val="both"/>
        <w:rPr>
          <w:rFonts w:cs="Calibri"/>
        </w:rPr>
      </w:pPr>
      <w:proofErr w:type="spellStart"/>
      <w:r w:rsidRPr="00BC7ED4">
        <w:rPr>
          <w:rFonts w:cs="Calibri"/>
        </w:rPr>
        <w:t>Qureshi</w:t>
      </w:r>
      <w:proofErr w:type="spellEnd"/>
      <w:r w:rsidRPr="00BC7ED4">
        <w:rPr>
          <w:rFonts w:cs="Calibri"/>
        </w:rPr>
        <w:t xml:space="preserve">, Z.P., O. Sartor, S. </w:t>
      </w:r>
      <w:proofErr w:type="spellStart"/>
      <w:r w:rsidRPr="00BC7ED4">
        <w:rPr>
          <w:rFonts w:cs="Calibri"/>
        </w:rPr>
        <w:t>Xirasagar</w:t>
      </w:r>
      <w:proofErr w:type="spellEnd"/>
      <w:r w:rsidRPr="00BC7ED4">
        <w:rPr>
          <w:rFonts w:cs="Calibri"/>
        </w:rPr>
        <w:t>, L. Ying, and C. L. Bennett, (2011).“Pharmaceutical Fraud and Abuse in the United States, 1996-2010,” Archives</w:t>
      </w:r>
      <w:r w:rsidR="00C20321">
        <w:rPr>
          <w:rFonts w:cs="Calibri"/>
        </w:rPr>
        <w:t xml:space="preserve"> </w:t>
      </w:r>
      <w:r w:rsidRPr="00BC7ED4">
        <w:rPr>
          <w:rFonts w:cs="Calibri"/>
        </w:rPr>
        <w:t>of Internal Medicine, 171(16): 1503–1506.</w:t>
      </w:r>
    </w:p>
    <w:p w:rsidR="00142551" w:rsidRPr="00BC7ED4" w:rsidRDefault="00142551" w:rsidP="00BC7ED4">
      <w:pPr>
        <w:autoSpaceDE w:val="0"/>
        <w:autoSpaceDN w:val="0"/>
        <w:bidi w:val="0"/>
        <w:adjustRightInd w:val="0"/>
        <w:spacing w:after="0" w:line="240" w:lineRule="auto"/>
        <w:ind w:left="450" w:right="-180" w:hanging="450"/>
        <w:jc w:val="both"/>
        <w:rPr>
          <w:rFonts w:cs="Calibri"/>
        </w:rPr>
      </w:pPr>
      <w:proofErr w:type="spellStart"/>
      <w:r w:rsidRPr="00BC7ED4">
        <w:rPr>
          <w:rFonts w:cs="Calibri"/>
        </w:rPr>
        <w:t>Skiba</w:t>
      </w:r>
      <w:proofErr w:type="spellEnd"/>
      <w:r w:rsidRPr="00BC7ED4">
        <w:rPr>
          <w:rFonts w:cs="Calibri"/>
        </w:rPr>
        <w:t xml:space="preserve"> J., </w:t>
      </w:r>
      <w:proofErr w:type="spellStart"/>
      <w:r w:rsidRPr="00BC7ED4">
        <w:rPr>
          <w:rFonts w:cs="Calibri"/>
        </w:rPr>
        <w:t>Disch</w:t>
      </w:r>
      <w:proofErr w:type="spellEnd"/>
      <w:r w:rsidRPr="00BC7ED4">
        <w:rPr>
          <w:rFonts w:cs="Calibri"/>
        </w:rPr>
        <w:t xml:space="preserve"> B.(2014) A Phenomenological Study of the Barriers and Challenges Facing Insurance Fraud Investigators, National Association of Insurance commissioners </w:t>
      </w:r>
      <w:proofErr w:type="spellStart"/>
      <w:r w:rsidRPr="00BC7ED4">
        <w:rPr>
          <w:rFonts w:cs="Calibri"/>
        </w:rPr>
        <w:t>p.p</w:t>
      </w:r>
      <w:proofErr w:type="spellEnd"/>
      <w:r w:rsidRPr="00BC7ED4">
        <w:rPr>
          <w:rFonts w:cs="Calibri"/>
        </w:rPr>
        <w:t xml:space="preserve"> 87-114.</w:t>
      </w:r>
    </w:p>
    <w:p w:rsidR="00142551" w:rsidRPr="00BC7ED4" w:rsidRDefault="00142551" w:rsidP="00BC7ED4">
      <w:pPr>
        <w:autoSpaceDE w:val="0"/>
        <w:autoSpaceDN w:val="0"/>
        <w:bidi w:val="0"/>
        <w:adjustRightInd w:val="0"/>
        <w:spacing w:after="0" w:line="240" w:lineRule="auto"/>
        <w:ind w:left="450" w:hanging="450"/>
        <w:rPr>
          <w:rFonts w:cs="Calibri"/>
        </w:rPr>
      </w:pPr>
      <w:r w:rsidRPr="00BC7ED4">
        <w:rPr>
          <w:rFonts w:cs="Calibri"/>
        </w:rPr>
        <w:t>Sparrow, R. (2008) ‘Targeting the Poor in Times of Crisis: The Indonesian Health Card.’ Health Policy and Planning 23 (3): 188–199.</w:t>
      </w:r>
    </w:p>
    <w:p w:rsidR="00142551" w:rsidRPr="00BC7ED4" w:rsidRDefault="00142551" w:rsidP="00BC7ED4">
      <w:pPr>
        <w:bidi w:val="0"/>
        <w:spacing w:after="0" w:line="240" w:lineRule="auto"/>
        <w:ind w:left="450" w:hanging="450"/>
        <w:rPr>
          <w:rFonts w:cs="Calibri"/>
        </w:rPr>
      </w:pPr>
      <w:r w:rsidRPr="00BC7ED4">
        <w:rPr>
          <w:rFonts w:cs="Calibri"/>
        </w:rPr>
        <w:t>Task Force (1997), “Why Some Americans Do and Don’t Tolerate Insurance Fraud -A Study on Public Attitudes”, Coalition Against Insurance Frauds, (www.lnsuranceFrauds.ora).</w:t>
      </w:r>
    </w:p>
    <w:p w:rsidR="00142551" w:rsidRPr="00BC7ED4" w:rsidRDefault="00142551" w:rsidP="00BC7ED4">
      <w:pPr>
        <w:autoSpaceDE w:val="0"/>
        <w:autoSpaceDN w:val="0"/>
        <w:bidi w:val="0"/>
        <w:adjustRightInd w:val="0"/>
        <w:spacing w:after="0" w:line="240" w:lineRule="auto"/>
        <w:ind w:left="450" w:hanging="450"/>
        <w:jc w:val="both"/>
        <w:rPr>
          <w:rFonts w:cs="Calibri"/>
        </w:rPr>
      </w:pPr>
      <w:r w:rsidRPr="00BC7ED4">
        <w:rPr>
          <w:rFonts w:cs="Calibri"/>
        </w:rPr>
        <w:t xml:space="preserve">Taylor, M., 2003. “Policing Quality: Federal Prosecutors Increasingly are </w:t>
      </w:r>
      <w:proofErr w:type="spellStart"/>
      <w:r w:rsidRPr="00BC7ED4">
        <w:rPr>
          <w:rFonts w:cs="Calibri"/>
        </w:rPr>
        <w:t>Lookingto</w:t>
      </w:r>
      <w:proofErr w:type="spellEnd"/>
      <w:r w:rsidRPr="00BC7ED4">
        <w:rPr>
          <w:rFonts w:cs="Calibri"/>
        </w:rPr>
        <w:t xml:space="preserve"> Prosecute Providers who Defraud Government Programs via Inadequate Patient Care,” Modern Healthcare, 33(26): 24.</w:t>
      </w:r>
    </w:p>
    <w:p w:rsidR="00142551" w:rsidRPr="00BC7ED4" w:rsidRDefault="00142551" w:rsidP="00BC7ED4">
      <w:pPr>
        <w:autoSpaceDE w:val="0"/>
        <w:autoSpaceDN w:val="0"/>
        <w:bidi w:val="0"/>
        <w:adjustRightInd w:val="0"/>
        <w:spacing w:after="0" w:line="240" w:lineRule="auto"/>
        <w:ind w:left="450" w:hanging="450"/>
        <w:rPr>
          <w:rFonts w:cs="Calibri"/>
        </w:rPr>
      </w:pPr>
      <w:r w:rsidRPr="00BC7ED4">
        <w:rPr>
          <w:rFonts w:cs="Calibri"/>
        </w:rPr>
        <w:t>Tennyson, S. &amp; Salsas-</w:t>
      </w:r>
      <w:proofErr w:type="spellStart"/>
      <w:r w:rsidRPr="00BC7ED4">
        <w:rPr>
          <w:rFonts w:cs="Calibri"/>
        </w:rPr>
        <w:t>Forn</w:t>
      </w:r>
      <w:proofErr w:type="spellEnd"/>
      <w:r w:rsidRPr="00BC7ED4">
        <w:rPr>
          <w:rFonts w:cs="Calibri"/>
        </w:rPr>
        <w:t>, P. (2002) ‘Claims Auditing in Automobile Insurance: Opportunism (fraud) Detection and Deterrence Objectives’. Journal of Risk and Insurance, 69(3): 289-308.</w:t>
      </w:r>
    </w:p>
    <w:p w:rsidR="00142551" w:rsidRPr="00BC7ED4" w:rsidRDefault="00C4716B" w:rsidP="00BC7ED4">
      <w:pPr>
        <w:shd w:val="clear" w:color="auto" w:fill="FFFFFF"/>
        <w:bidi w:val="0"/>
        <w:spacing w:after="0" w:line="240" w:lineRule="auto"/>
        <w:ind w:left="450" w:hanging="450"/>
        <w:rPr>
          <w:rFonts w:cs="Calibri"/>
        </w:rPr>
      </w:pPr>
      <w:hyperlink r:id="rId19" w:history="1">
        <w:r w:rsidR="00142551" w:rsidRPr="00BC7ED4">
          <w:rPr>
            <w:rFonts w:cs="Calibri"/>
          </w:rPr>
          <w:t>Tennyson, Sharon</w:t>
        </w:r>
      </w:hyperlink>
      <w:r w:rsidR="00142551" w:rsidRPr="00BC7ED4">
        <w:rPr>
          <w:rFonts w:cs="Calibri"/>
        </w:rPr>
        <w:t xml:space="preserve">. (2008)Moral, Social, and Economic Dimensions of Insurance Claims Fraud, </w:t>
      </w:r>
      <w:hyperlink r:id="rId20" w:history="1">
        <w:r w:rsidR="00142551" w:rsidRPr="00BC7ED4">
          <w:rPr>
            <w:rFonts w:cs="Calibri"/>
          </w:rPr>
          <w:t>Social Research</w:t>
        </w:r>
      </w:hyperlink>
      <w:r w:rsidR="00142551" w:rsidRPr="00BC7ED4">
        <w:rPr>
          <w:rFonts w:cs="Calibri"/>
        </w:rPr>
        <w:t xml:space="preserve">. Vol. 75 Issue 4, p1181-1204. 24p. </w:t>
      </w:r>
    </w:p>
    <w:p w:rsidR="00142551" w:rsidRPr="00BC7ED4" w:rsidRDefault="00C4716B" w:rsidP="00BC7ED4">
      <w:pPr>
        <w:shd w:val="clear" w:color="auto" w:fill="FFFFFF"/>
        <w:bidi w:val="0"/>
        <w:spacing w:after="0" w:line="240" w:lineRule="auto"/>
        <w:ind w:left="450" w:hanging="450"/>
        <w:rPr>
          <w:rFonts w:cs="Calibri"/>
        </w:rPr>
      </w:pPr>
      <w:hyperlink r:id="rId21" w:history="1">
        <w:proofErr w:type="spellStart"/>
        <w:r w:rsidR="00142551" w:rsidRPr="00BC7ED4">
          <w:rPr>
            <w:rFonts w:cs="Calibri"/>
          </w:rPr>
          <w:t>Tonenciuc</w:t>
        </w:r>
        <w:proofErr w:type="spellEnd"/>
        <w:r w:rsidR="00142551" w:rsidRPr="00BC7ED4">
          <w:rPr>
            <w:rFonts w:cs="Calibri"/>
          </w:rPr>
          <w:t xml:space="preserve">, </w:t>
        </w:r>
        <w:proofErr w:type="spellStart"/>
        <w:r w:rsidR="00142551" w:rsidRPr="00BC7ED4">
          <w:rPr>
            <w:rFonts w:cs="Calibri"/>
          </w:rPr>
          <w:t>Corina</w:t>
        </w:r>
        <w:proofErr w:type="spellEnd"/>
        <w:r w:rsidR="00142551" w:rsidRPr="00BC7ED4">
          <w:rPr>
            <w:rFonts w:cs="Calibri"/>
          </w:rPr>
          <w:t>-Maria</w:t>
        </w:r>
      </w:hyperlink>
      <w:r w:rsidR="00142551" w:rsidRPr="00BC7ED4">
        <w:rPr>
          <w:rFonts w:cs="Calibri"/>
        </w:rPr>
        <w:t xml:space="preserve">(2015)The Phenomenon of Insurance Fraud, </w:t>
      </w:r>
      <w:hyperlink r:id="rId22" w:history="1">
        <w:proofErr w:type="spellStart"/>
        <w:r w:rsidR="00142551" w:rsidRPr="00BC7ED4">
          <w:rPr>
            <w:rFonts w:cs="Calibri"/>
          </w:rPr>
          <w:t>Valahian</w:t>
        </w:r>
        <w:proofErr w:type="spellEnd"/>
        <w:r w:rsidR="00142551" w:rsidRPr="00BC7ED4">
          <w:rPr>
            <w:rFonts w:cs="Calibri"/>
          </w:rPr>
          <w:t xml:space="preserve"> Journal of Economic Studies</w:t>
        </w:r>
      </w:hyperlink>
      <w:r w:rsidR="00142551" w:rsidRPr="00BC7ED4">
        <w:rPr>
          <w:rFonts w:cs="Calibri"/>
        </w:rPr>
        <w:t xml:space="preserve">. Vol. 6 Issue 3, p57-62. 6p. </w:t>
      </w:r>
    </w:p>
    <w:p w:rsidR="00142551" w:rsidRPr="00BC7ED4" w:rsidRDefault="00142551" w:rsidP="00BC7ED4">
      <w:pPr>
        <w:bidi w:val="0"/>
        <w:spacing w:after="0" w:line="240" w:lineRule="auto"/>
        <w:ind w:left="450" w:hanging="450"/>
        <w:rPr>
          <w:rFonts w:cs="Calibri"/>
        </w:rPr>
      </w:pPr>
      <w:r w:rsidRPr="00BC7ED4">
        <w:rPr>
          <w:rFonts w:cs="Calibri"/>
        </w:rPr>
        <w:lastRenderedPageBreak/>
        <w:t xml:space="preserve">Viaene, S. and G. </w:t>
      </w:r>
      <w:proofErr w:type="spellStart"/>
      <w:r w:rsidRPr="00BC7ED4">
        <w:rPr>
          <w:rFonts w:cs="Calibri"/>
        </w:rPr>
        <w:t>Dedene</w:t>
      </w:r>
      <w:proofErr w:type="spellEnd"/>
      <w:r w:rsidRPr="00BC7ED4">
        <w:rPr>
          <w:rFonts w:cs="Calibri"/>
        </w:rPr>
        <w:t>, (2004), Insurance Fraud: Issues and Challenges, Geneva Papers on Risk and Insurance - Issues and Practice, 29(2):313– 333.</w:t>
      </w:r>
    </w:p>
    <w:p w:rsidR="00142551" w:rsidRPr="00BC7ED4" w:rsidRDefault="00142551" w:rsidP="00BC7ED4">
      <w:pPr>
        <w:autoSpaceDE w:val="0"/>
        <w:autoSpaceDN w:val="0"/>
        <w:bidi w:val="0"/>
        <w:adjustRightInd w:val="0"/>
        <w:spacing w:after="0" w:line="240" w:lineRule="auto"/>
        <w:ind w:left="450" w:hanging="450"/>
        <w:jc w:val="both"/>
        <w:rPr>
          <w:rFonts w:cs="Calibri"/>
        </w:rPr>
      </w:pPr>
      <w:r w:rsidRPr="00BC7ED4">
        <w:rPr>
          <w:rFonts w:cs="Calibri"/>
        </w:rPr>
        <w:t>Wells, J. T. (2011). Corporate Fraud Handbook : Prevention And Detection (Third Ed., Pp. 456). Canada: John Wiley &amp; Sons, ACFE.</w:t>
      </w:r>
    </w:p>
    <w:p w:rsidR="00142551" w:rsidRPr="00BC7ED4" w:rsidRDefault="00142551" w:rsidP="00BC7ED4">
      <w:pPr>
        <w:autoSpaceDE w:val="0"/>
        <w:autoSpaceDN w:val="0"/>
        <w:bidi w:val="0"/>
        <w:adjustRightInd w:val="0"/>
        <w:spacing w:after="0" w:line="240" w:lineRule="auto"/>
        <w:ind w:left="450" w:hanging="450"/>
        <w:jc w:val="both"/>
        <w:rPr>
          <w:rFonts w:cs="Calibri"/>
        </w:rPr>
      </w:pPr>
      <w:r w:rsidRPr="00BC7ED4">
        <w:rPr>
          <w:rFonts w:cs="Calibri"/>
        </w:rPr>
        <w:t>Yusuf, T. O., &amp;</w:t>
      </w:r>
      <w:proofErr w:type="spellStart"/>
      <w:r w:rsidRPr="00BC7ED4">
        <w:rPr>
          <w:rFonts w:cs="Calibri"/>
        </w:rPr>
        <w:t>Babalola</w:t>
      </w:r>
      <w:proofErr w:type="spellEnd"/>
      <w:r w:rsidRPr="00BC7ED4">
        <w:rPr>
          <w:rFonts w:cs="Calibri"/>
        </w:rPr>
        <w:t>, A. R. (2009). Control Of Insurance Fraud In Nigeria: An Exploratory Study (Case Study). Journal Of Financial Crime, 16(4), 418 - 435.</w:t>
      </w:r>
    </w:p>
    <w:p w:rsidR="00D702BB" w:rsidRPr="00D702BB" w:rsidRDefault="00D702BB" w:rsidP="00BC7ED4">
      <w:pPr>
        <w:autoSpaceDE w:val="0"/>
        <w:autoSpaceDN w:val="0"/>
        <w:bidi w:val="0"/>
        <w:adjustRightInd w:val="0"/>
        <w:spacing w:after="0" w:line="240" w:lineRule="auto"/>
        <w:ind w:left="450" w:hanging="450"/>
        <w:jc w:val="both"/>
        <w:rPr>
          <w:rFonts w:cs="TimesNewRoman"/>
          <w:sz w:val="20"/>
          <w:szCs w:val="20"/>
        </w:rPr>
      </w:pPr>
    </w:p>
    <w:sectPr w:rsidR="00D702BB" w:rsidRPr="00D702BB" w:rsidSect="00BB264E">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16B" w:rsidRDefault="00C4716B" w:rsidP="00E57429">
      <w:pPr>
        <w:spacing w:after="0" w:line="240" w:lineRule="auto"/>
      </w:pPr>
      <w:r>
        <w:separator/>
      </w:r>
    </w:p>
  </w:endnote>
  <w:endnote w:type="continuationSeparator" w:id="0">
    <w:p w:rsidR="00C4716B" w:rsidRDefault="00C4716B" w:rsidP="00E5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Arial"/>
    <w:panose1 w:val="00000000000000000000"/>
    <w:charset w:val="00"/>
    <w:family w:val="swiss"/>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7422375"/>
      <w:docPartObj>
        <w:docPartGallery w:val="Page Numbers (Bottom of Page)"/>
        <w:docPartUnique/>
      </w:docPartObj>
    </w:sdtPr>
    <w:sdtEndPr/>
    <w:sdtContent>
      <w:p w:rsidR="0079487E" w:rsidRDefault="006F395F">
        <w:pPr>
          <w:pStyle w:val="a5"/>
          <w:jc w:val="center"/>
        </w:pPr>
        <w:r>
          <w:fldChar w:fldCharType="begin"/>
        </w:r>
        <w:r>
          <w:instrText xml:space="preserve"> PAGE   \* MERGEFORMAT </w:instrText>
        </w:r>
        <w:r>
          <w:fldChar w:fldCharType="separate"/>
        </w:r>
        <w:r w:rsidR="006B4AEB">
          <w:rPr>
            <w:noProof/>
            <w:rtl/>
          </w:rPr>
          <w:t>16</w:t>
        </w:r>
        <w:r>
          <w:rPr>
            <w:noProof/>
          </w:rPr>
          <w:fldChar w:fldCharType="end"/>
        </w:r>
      </w:p>
    </w:sdtContent>
  </w:sdt>
  <w:p w:rsidR="0079487E" w:rsidRDefault="007948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16B" w:rsidRDefault="00C4716B" w:rsidP="00E57429">
      <w:pPr>
        <w:spacing w:after="0" w:line="240" w:lineRule="auto"/>
      </w:pPr>
      <w:r>
        <w:separator/>
      </w:r>
    </w:p>
  </w:footnote>
  <w:footnote w:type="continuationSeparator" w:id="0">
    <w:p w:rsidR="00C4716B" w:rsidRDefault="00C4716B" w:rsidP="00E574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1B60"/>
    <w:multiLevelType w:val="hybridMultilevel"/>
    <w:tmpl w:val="540A59E0"/>
    <w:lvl w:ilvl="0" w:tplc="69184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670AF"/>
    <w:multiLevelType w:val="hybridMultilevel"/>
    <w:tmpl w:val="B4141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76592"/>
    <w:multiLevelType w:val="hybridMultilevel"/>
    <w:tmpl w:val="A98876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A129C"/>
    <w:multiLevelType w:val="hybridMultilevel"/>
    <w:tmpl w:val="1960D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E2E2C"/>
    <w:multiLevelType w:val="hybridMultilevel"/>
    <w:tmpl w:val="4B36B5F6"/>
    <w:lvl w:ilvl="0" w:tplc="D26AC24E">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nsid w:val="1FB922F1"/>
    <w:multiLevelType w:val="hybridMultilevel"/>
    <w:tmpl w:val="CA28E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176B2"/>
    <w:multiLevelType w:val="hybridMultilevel"/>
    <w:tmpl w:val="93EE8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5273E3"/>
    <w:multiLevelType w:val="hybridMultilevel"/>
    <w:tmpl w:val="C3C0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655F17"/>
    <w:multiLevelType w:val="hybridMultilevel"/>
    <w:tmpl w:val="B4141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E937B2"/>
    <w:multiLevelType w:val="hybridMultilevel"/>
    <w:tmpl w:val="1E46B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98442FD"/>
    <w:multiLevelType w:val="multilevel"/>
    <w:tmpl w:val="4B36B5F6"/>
    <w:lvl w:ilvl="0">
      <w:start w:val="1"/>
      <w:numFmt w:val="decimal"/>
      <w:lvlText w:val="%1-"/>
      <w:lvlJc w:val="left"/>
      <w:pPr>
        <w:ind w:left="360" w:hanging="360"/>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1">
    <w:nsid w:val="3FE15272"/>
    <w:multiLevelType w:val="hybridMultilevel"/>
    <w:tmpl w:val="4B36B5F6"/>
    <w:lvl w:ilvl="0" w:tplc="D26AC24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80517"/>
    <w:multiLevelType w:val="hybridMultilevel"/>
    <w:tmpl w:val="CA28E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835B7"/>
    <w:multiLevelType w:val="hybridMultilevel"/>
    <w:tmpl w:val="CFE6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65614E"/>
    <w:multiLevelType w:val="hybridMultilevel"/>
    <w:tmpl w:val="B4141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5966E9"/>
    <w:multiLevelType w:val="hybridMultilevel"/>
    <w:tmpl w:val="A1D00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4"/>
  </w:num>
  <w:num w:numId="5">
    <w:abstractNumId w:val="8"/>
  </w:num>
  <w:num w:numId="6">
    <w:abstractNumId w:val="15"/>
  </w:num>
  <w:num w:numId="7">
    <w:abstractNumId w:val="12"/>
  </w:num>
  <w:num w:numId="8">
    <w:abstractNumId w:val="5"/>
  </w:num>
  <w:num w:numId="9">
    <w:abstractNumId w:val="2"/>
  </w:num>
  <w:num w:numId="10">
    <w:abstractNumId w:val="9"/>
  </w:num>
  <w:num w:numId="11">
    <w:abstractNumId w:val="6"/>
  </w:num>
  <w:num w:numId="12">
    <w:abstractNumId w:val="7"/>
  </w:num>
  <w:num w:numId="13">
    <w:abstractNumId w:val="13"/>
  </w:num>
  <w:num w:numId="14">
    <w:abstractNumId w:val="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3D"/>
    <w:rsid w:val="000078F0"/>
    <w:rsid w:val="0001524F"/>
    <w:rsid w:val="00025C62"/>
    <w:rsid w:val="00050BCA"/>
    <w:rsid w:val="00053925"/>
    <w:rsid w:val="000656B8"/>
    <w:rsid w:val="0009759E"/>
    <w:rsid w:val="000A20D4"/>
    <w:rsid w:val="000B25AD"/>
    <w:rsid w:val="000C47DB"/>
    <w:rsid w:val="000C4B81"/>
    <w:rsid w:val="000D3396"/>
    <w:rsid w:val="000F7892"/>
    <w:rsid w:val="00100A0F"/>
    <w:rsid w:val="001029FF"/>
    <w:rsid w:val="00117599"/>
    <w:rsid w:val="0012271F"/>
    <w:rsid w:val="00131027"/>
    <w:rsid w:val="00131EAC"/>
    <w:rsid w:val="00142551"/>
    <w:rsid w:val="001441A7"/>
    <w:rsid w:val="00144F8E"/>
    <w:rsid w:val="00165468"/>
    <w:rsid w:val="00177342"/>
    <w:rsid w:val="00182073"/>
    <w:rsid w:val="001B0BCB"/>
    <w:rsid w:val="001B2A4A"/>
    <w:rsid w:val="001D3817"/>
    <w:rsid w:val="001E5E30"/>
    <w:rsid w:val="001F30FE"/>
    <w:rsid w:val="001F5EA8"/>
    <w:rsid w:val="002007B5"/>
    <w:rsid w:val="00203DF6"/>
    <w:rsid w:val="002075FA"/>
    <w:rsid w:val="002120E0"/>
    <w:rsid w:val="00215037"/>
    <w:rsid w:val="002244C6"/>
    <w:rsid w:val="00225B79"/>
    <w:rsid w:val="0022787D"/>
    <w:rsid w:val="00227BB5"/>
    <w:rsid w:val="00236E83"/>
    <w:rsid w:val="002619D9"/>
    <w:rsid w:val="00274097"/>
    <w:rsid w:val="00275723"/>
    <w:rsid w:val="002800E7"/>
    <w:rsid w:val="00280E49"/>
    <w:rsid w:val="002850F1"/>
    <w:rsid w:val="00285FB8"/>
    <w:rsid w:val="002B69C4"/>
    <w:rsid w:val="002C4BDB"/>
    <w:rsid w:val="002D301A"/>
    <w:rsid w:val="002E54C1"/>
    <w:rsid w:val="00312D51"/>
    <w:rsid w:val="0031624B"/>
    <w:rsid w:val="0031766C"/>
    <w:rsid w:val="00324343"/>
    <w:rsid w:val="00327AA8"/>
    <w:rsid w:val="003363DA"/>
    <w:rsid w:val="00344AAD"/>
    <w:rsid w:val="00354ED4"/>
    <w:rsid w:val="003572DC"/>
    <w:rsid w:val="00363868"/>
    <w:rsid w:val="00374D55"/>
    <w:rsid w:val="003764A3"/>
    <w:rsid w:val="00377298"/>
    <w:rsid w:val="00393FD5"/>
    <w:rsid w:val="003B2F49"/>
    <w:rsid w:val="003B32BC"/>
    <w:rsid w:val="003C6869"/>
    <w:rsid w:val="003F71E3"/>
    <w:rsid w:val="004072DB"/>
    <w:rsid w:val="0040769B"/>
    <w:rsid w:val="00415E96"/>
    <w:rsid w:val="0042595F"/>
    <w:rsid w:val="00445C26"/>
    <w:rsid w:val="00460935"/>
    <w:rsid w:val="0047019D"/>
    <w:rsid w:val="004722C9"/>
    <w:rsid w:val="00473DC6"/>
    <w:rsid w:val="004811CD"/>
    <w:rsid w:val="00482186"/>
    <w:rsid w:val="004859F7"/>
    <w:rsid w:val="004905D1"/>
    <w:rsid w:val="004B4E40"/>
    <w:rsid w:val="004B759D"/>
    <w:rsid w:val="004E60C0"/>
    <w:rsid w:val="004F1F72"/>
    <w:rsid w:val="004F1FE8"/>
    <w:rsid w:val="00502B1F"/>
    <w:rsid w:val="00510FAA"/>
    <w:rsid w:val="00516F62"/>
    <w:rsid w:val="00520155"/>
    <w:rsid w:val="0053620C"/>
    <w:rsid w:val="005373D9"/>
    <w:rsid w:val="005379B5"/>
    <w:rsid w:val="005418F0"/>
    <w:rsid w:val="00560950"/>
    <w:rsid w:val="00571AD0"/>
    <w:rsid w:val="0057302A"/>
    <w:rsid w:val="00573EC1"/>
    <w:rsid w:val="0058448D"/>
    <w:rsid w:val="005A7B30"/>
    <w:rsid w:val="005B1C30"/>
    <w:rsid w:val="005B1E8B"/>
    <w:rsid w:val="005B59DA"/>
    <w:rsid w:val="005C2B27"/>
    <w:rsid w:val="005E6FC7"/>
    <w:rsid w:val="005F0B13"/>
    <w:rsid w:val="00602CC8"/>
    <w:rsid w:val="006058D6"/>
    <w:rsid w:val="00644954"/>
    <w:rsid w:val="00654C98"/>
    <w:rsid w:val="0066011C"/>
    <w:rsid w:val="00660AF5"/>
    <w:rsid w:val="00661924"/>
    <w:rsid w:val="00692986"/>
    <w:rsid w:val="006B1447"/>
    <w:rsid w:val="006B3582"/>
    <w:rsid w:val="006B4AEB"/>
    <w:rsid w:val="006B6D8F"/>
    <w:rsid w:val="006C6855"/>
    <w:rsid w:val="006D236C"/>
    <w:rsid w:val="006D5AA2"/>
    <w:rsid w:val="006D6607"/>
    <w:rsid w:val="006E0EB9"/>
    <w:rsid w:val="006E5EC7"/>
    <w:rsid w:val="006E7E74"/>
    <w:rsid w:val="006F395F"/>
    <w:rsid w:val="006F4864"/>
    <w:rsid w:val="0070504E"/>
    <w:rsid w:val="00726F3D"/>
    <w:rsid w:val="0073361B"/>
    <w:rsid w:val="00733ADC"/>
    <w:rsid w:val="0073492F"/>
    <w:rsid w:val="00736B71"/>
    <w:rsid w:val="00737413"/>
    <w:rsid w:val="00740AEB"/>
    <w:rsid w:val="00750185"/>
    <w:rsid w:val="00757712"/>
    <w:rsid w:val="007630D1"/>
    <w:rsid w:val="00767DC0"/>
    <w:rsid w:val="00793012"/>
    <w:rsid w:val="0079487E"/>
    <w:rsid w:val="00797FF9"/>
    <w:rsid w:val="007A77DC"/>
    <w:rsid w:val="007E345C"/>
    <w:rsid w:val="007E5C61"/>
    <w:rsid w:val="007E7181"/>
    <w:rsid w:val="008004B3"/>
    <w:rsid w:val="00806EDD"/>
    <w:rsid w:val="008312B1"/>
    <w:rsid w:val="008479E4"/>
    <w:rsid w:val="00861CCE"/>
    <w:rsid w:val="00865A25"/>
    <w:rsid w:val="00871D7B"/>
    <w:rsid w:val="00892F30"/>
    <w:rsid w:val="008B0145"/>
    <w:rsid w:val="008B1479"/>
    <w:rsid w:val="008B161C"/>
    <w:rsid w:val="008C0DAD"/>
    <w:rsid w:val="008C1D9D"/>
    <w:rsid w:val="008F1EEE"/>
    <w:rsid w:val="008F50B5"/>
    <w:rsid w:val="009042F4"/>
    <w:rsid w:val="00905B90"/>
    <w:rsid w:val="0091089F"/>
    <w:rsid w:val="009239B2"/>
    <w:rsid w:val="00924F8F"/>
    <w:rsid w:val="00945E1E"/>
    <w:rsid w:val="0097534C"/>
    <w:rsid w:val="009758F2"/>
    <w:rsid w:val="009A11B8"/>
    <w:rsid w:val="009A3FB3"/>
    <w:rsid w:val="009A64DB"/>
    <w:rsid w:val="009D24FF"/>
    <w:rsid w:val="009D3076"/>
    <w:rsid w:val="009D4C32"/>
    <w:rsid w:val="009E0F60"/>
    <w:rsid w:val="009E140D"/>
    <w:rsid w:val="009F2F11"/>
    <w:rsid w:val="00A21318"/>
    <w:rsid w:val="00A2752D"/>
    <w:rsid w:val="00A52725"/>
    <w:rsid w:val="00A6148F"/>
    <w:rsid w:val="00A64515"/>
    <w:rsid w:val="00A70709"/>
    <w:rsid w:val="00A82E4F"/>
    <w:rsid w:val="00A83698"/>
    <w:rsid w:val="00AA62A4"/>
    <w:rsid w:val="00AD2AE1"/>
    <w:rsid w:val="00AF561C"/>
    <w:rsid w:val="00B17622"/>
    <w:rsid w:val="00B20EA9"/>
    <w:rsid w:val="00B26F6F"/>
    <w:rsid w:val="00B27D83"/>
    <w:rsid w:val="00B35A23"/>
    <w:rsid w:val="00B402B1"/>
    <w:rsid w:val="00B456C2"/>
    <w:rsid w:val="00B54E5E"/>
    <w:rsid w:val="00B57F70"/>
    <w:rsid w:val="00B65DA1"/>
    <w:rsid w:val="00B77B53"/>
    <w:rsid w:val="00B860F4"/>
    <w:rsid w:val="00B9331D"/>
    <w:rsid w:val="00BA30C1"/>
    <w:rsid w:val="00BB264E"/>
    <w:rsid w:val="00BC0389"/>
    <w:rsid w:val="00BC7ED4"/>
    <w:rsid w:val="00BD036D"/>
    <w:rsid w:val="00BD3BE5"/>
    <w:rsid w:val="00BE105A"/>
    <w:rsid w:val="00BE4821"/>
    <w:rsid w:val="00BE7952"/>
    <w:rsid w:val="00BF34C3"/>
    <w:rsid w:val="00BF357E"/>
    <w:rsid w:val="00C1022A"/>
    <w:rsid w:val="00C129AB"/>
    <w:rsid w:val="00C153C9"/>
    <w:rsid w:val="00C20321"/>
    <w:rsid w:val="00C36431"/>
    <w:rsid w:val="00C4716B"/>
    <w:rsid w:val="00C62461"/>
    <w:rsid w:val="00C72346"/>
    <w:rsid w:val="00C74F41"/>
    <w:rsid w:val="00C815C4"/>
    <w:rsid w:val="00C94DA5"/>
    <w:rsid w:val="00C9725F"/>
    <w:rsid w:val="00CA0A42"/>
    <w:rsid w:val="00CB0FF6"/>
    <w:rsid w:val="00CB2D8C"/>
    <w:rsid w:val="00CF1FF4"/>
    <w:rsid w:val="00CF30EF"/>
    <w:rsid w:val="00CF672B"/>
    <w:rsid w:val="00CF7100"/>
    <w:rsid w:val="00D003D0"/>
    <w:rsid w:val="00D03BA0"/>
    <w:rsid w:val="00D25408"/>
    <w:rsid w:val="00D25E06"/>
    <w:rsid w:val="00D26C2A"/>
    <w:rsid w:val="00D324F4"/>
    <w:rsid w:val="00D362AA"/>
    <w:rsid w:val="00D3666B"/>
    <w:rsid w:val="00D41194"/>
    <w:rsid w:val="00D45A46"/>
    <w:rsid w:val="00D500F4"/>
    <w:rsid w:val="00D53D2A"/>
    <w:rsid w:val="00D567DC"/>
    <w:rsid w:val="00D702BB"/>
    <w:rsid w:val="00D71587"/>
    <w:rsid w:val="00D73F3B"/>
    <w:rsid w:val="00D76A0A"/>
    <w:rsid w:val="00DA13F8"/>
    <w:rsid w:val="00DB3D3D"/>
    <w:rsid w:val="00DB5A30"/>
    <w:rsid w:val="00DB6D44"/>
    <w:rsid w:val="00DC20DC"/>
    <w:rsid w:val="00DC52F3"/>
    <w:rsid w:val="00DE00DF"/>
    <w:rsid w:val="00DF126B"/>
    <w:rsid w:val="00DF5B9E"/>
    <w:rsid w:val="00DF7C10"/>
    <w:rsid w:val="00E05253"/>
    <w:rsid w:val="00E34054"/>
    <w:rsid w:val="00E47BE2"/>
    <w:rsid w:val="00E56C1C"/>
    <w:rsid w:val="00E57429"/>
    <w:rsid w:val="00E8246D"/>
    <w:rsid w:val="00EA0F62"/>
    <w:rsid w:val="00EA120B"/>
    <w:rsid w:val="00EB56BA"/>
    <w:rsid w:val="00EC2B87"/>
    <w:rsid w:val="00EC7BC7"/>
    <w:rsid w:val="00ED1A6C"/>
    <w:rsid w:val="00ED37AE"/>
    <w:rsid w:val="00EE3603"/>
    <w:rsid w:val="00EE41F5"/>
    <w:rsid w:val="00EE5934"/>
    <w:rsid w:val="00EF3423"/>
    <w:rsid w:val="00EF4179"/>
    <w:rsid w:val="00F02AE9"/>
    <w:rsid w:val="00F144CC"/>
    <w:rsid w:val="00F16D10"/>
    <w:rsid w:val="00F25124"/>
    <w:rsid w:val="00F2724F"/>
    <w:rsid w:val="00F32D0B"/>
    <w:rsid w:val="00F36197"/>
    <w:rsid w:val="00F463B1"/>
    <w:rsid w:val="00F47A4C"/>
    <w:rsid w:val="00F83542"/>
    <w:rsid w:val="00FA6D59"/>
    <w:rsid w:val="00FB4884"/>
    <w:rsid w:val="00FC1F23"/>
    <w:rsid w:val="00FD0791"/>
    <w:rsid w:val="00FD24A3"/>
    <w:rsid w:val="00FD3735"/>
    <w:rsid w:val="00FD715F"/>
    <w:rsid w:val="00FF40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F3D"/>
    <w:pPr>
      <w:bidi/>
      <w:spacing w:after="160" w:line="256" w:lineRule="auto"/>
    </w:pPr>
  </w:style>
  <w:style w:type="paragraph" w:styleId="1">
    <w:name w:val="heading 1"/>
    <w:basedOn w:val="a"/>
    <w:next w:val="a"/>
    <w:link w:val="1Char"/>
    <w:uiPriority w:val="9"/>
    <w:qFormat/>
    <w:rsid w:val="00DE0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8479E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3D"/>
    <w:pPr>
      <w:ind w:left="720"/>
      <w:contextualSpacing/>
    </w:pPr>
  </w:style>
  <w:style w:type="character" w:customStyle="1" w:styleId="apple-converted-space">
    <w:name w:val="apple-converted-space"/>
    <w:basedOn w:val="a0"/>
    <w:rsid w:val="00726F3D"/>
  </w:style>
  <w:style w:type="paragraph" w:customStyle="1" w:styleId="Default">
    <w:name w:val="Default"/>
    <w:rsid w:val="00726F3D"/>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a0"/>
    <w:uiPriority w:val="99"/>
    <w:unhideWhenUsed/>
    <w:rsid w:val="00726F3D"/>
    <w:rPr>
      <w:color w:val="0000FF" w:themeColor="hyperlink"/>
      <w:u w:val="single"/>
    </w:rPr>
  </w:style>
  <w:style w:type="paragraph" w:styleId="a4">
    <w:name w:val="header"/>
    <w:basedOn w:val="a"/>
    <w:link w:val="Char"/>
    <w:uiPriority w:val="99"/>
    <w:unhideWhenUsed/>
    <w:rsid w:val="00E57429"/>
    <w:pPr>
      <w:tabs>
        <w:tab w:val="center" w:pos="4680"/>
        <w:tab w:val="right" w:pos="9360"/>
      </w:tabs>
      <w:spacing w:after="0" w:line="240" w:lineRule="auto"/>
    </w:pPr>
  </w:style>
  <w:style w:type="character" w:customStyle="1" w:styleId="Char">
    <w:name w:val="رأس الصفحة Char"/>
    <w:basedOn w:val="a0"/>
    <w:link w:val="a4"/>
    <w:uiPriority w:val="99"/>
    <w:rsid w:val="00E57429"/>
  </w:style>
  <w:style w:type="paragraph" w:styleId="a5">
    <w:name w:val="footer"/>
    <w:basedOn w:val="a"/>
    <w:link w:val="Char0"/>
    <w:uiPriority w:val="99"/>
    <w:unhideWhenUsed/>
    <w:rsid w:val="00E57429"/>
    <w:pPr>
      <w:tabs>
        <w:tab w:val="center" w:pos="4680"/>
        <w:tab w:val="right" w:pos="9360"/>
      </w:tabs>
      <w:spacing w:after="0" w:line="240" w:lineRule="auto"/>
    </w:pPr>
  </w:style>
  <w:style w:type="character" w:customStyle="1" w:styleId="Char0">
    <w:name w:val="تذييل الصفحة Char"/>
    <w:basedOn w:val="a0"/>
    <w:link w:val="a5"/>
    <w:uiPriority w:val="99"/>
    <w:rsid w:val="00E57429"/>
  </w:style>
  <w:style w:type="character" w:customStyle="1" w:styleId="3Char">
    <w:name w:val="عنوان 3 Char"/>
    <w:basedOn w:val="a0"/>
    <w:link w:val="3"/>
    <w:uiPriority w:val="9"/>
    <w:rsid w:val="008479E4"/>
    <w:rPr>
      <w:rFonts w:ascii="Times New Roman" w:eastAsia="Times New Roman" w:hAnsi="Times New Roman" w:cs="Times New Roman"/>
      <w:b/>
      <w:bCs/>
      <w:sz w:val="27"/>
      <w:szCs w:val="27"/>
    </w:rPr>
  </w:style>
  <w:style w:type="table" w:styleId="a6">
    <w:name w:val="Table Grid"/>
    <w:basedOn w:val="a1"/>
    <w:uiPriority w:val="59"/>
    <w:rsid w:val="00025C6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Char"/>
    <w:uiPriority w:val="99"/>
    <w:unhideWhenUsed/>
    <w:rsid w:val="0002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025C62"/>
    <w:rPr>
      <w:rFonts w:ascii="Courier New" w:eastAsia="Times New Roman" w:hAnsi="Courier New" w:cs="Courier New"/>
      <w:sz w:val="20"/>
      <w:szCs w:val="20"/>
    </w:rPr>
  </w:style>
  <w:style w:type="character" w:customStyle="1" w:styleId="1Char">
    <w:name w:val="عنوان 1 Char"/>
    <w:basedOn w:val="a0"/>
    <w:link w:val="1"/>
    <w:uiPriority w:val="9"/>
    <w:rsid w:val="00DE00D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F3D"/>
    <w:pPr>
      <w:bidi/>
      <w:spacing w:after="160" w:line="256" w:lineRule="auto"/>
    </w:pPr>
  </w:style>
  <w:style w:type="paragraph" w:styleId="1">
    <w:name w:val="heading 1"/>
    <w:basedOn w:val="a"/>
    <w:next w:val="a"/>
    <w:link w:val="1Char"/>
    <w:uiPriority w:val="9"/>
    <w:qFormat/>
    <w:rsid w:val="00DE00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8479E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3D"/>
    <w:pPr>
      <w:ind w:left="720"/>
      <w:contextualSpacing/>
    </w:pPr>
  </w:style>
  <w:style w:type="character" w:customStyle="1" w:styleId="apple-converted-space">
    <w:name w:val="apple-converted-space"/>
    <w:basedOn w:val="a0"/>
    <w:rsid w:val="00726F3D"/>
  </w:style>
  <w:style w:type="paragraph" w:customStyle="1" w:styleId="Default">
    <w:name w:val="Default"/>
    <w:rsid w:val="00726F3D"/>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a0"/>
    <w:uiPriority w:val="99"/>
    <w:unhideWhenUsed/>
    <w:rsid w:val="00726F3D"/>
    <w:rPr>
      <w:color w:val="0000FF" w:themeColor="hyperlink"/>
      <w:u w:val="single"/>
    </w:rPr>
  </w:style>
  <w:style w:type="paragraph" w:styleId="a4">
    <w:name w:val="header"/>
    <w:basedOn w:val="a"/>
    <w:link w:val="Char"/>
    <w:uiPriority w:val="99"/>
    <w:unhideWhenUsed/>
    <w:rsid w:val="00E57429"/>
    <w:pPr>
      <w:tabs>
        <w:tab w:val="center" w:pos="4680"/>
        <w:tab w:val="right" w:pos="9360"/>
      </w:tabs>
      <w:spacing w:after="0" w:line="240" w:lineRule="auto"/>
    </w:pPr>
  </w:style>
  <w:style w:type="character" w:customStyle="1" w:styleId="Char">
    <w:name w:val="رأس الصفحة Char"/>
    <w:basedOn w:val="a0"/>
    <w:link w:val="a4"/>
    <w:uiPriority w:val="99"/>
    <w:rsid w:val="00E57429"/>
  </w:style>
  <w:style w:type="paragraph" w:styleId="a5">
    <w:name w:val="footer"/>
    <w:basedOn w:val="a"/>
    <w:link w:val="Char0"/>
    <w:uiPriority w:val="99"/>
    <w:unhideWhenUsed/>
    <w:rsid w:val="00E57429"/>
    <w:pPr>
      <w:tabs>
        <w:tab w:val="center" w:pos="4680"/>
        <w:tab w:val="right" w:pos="9360"/>
      </w:tabs>
      <w:spacing w:after="0" w:line="240" w:lineRule="auto"/>
    </w:pPr>
  </w:style>
  <w:style w:type="character" w:customStyle="1" w:styleId="Char0">
    <w:name w:val="تذييل الصفحة Char"/>
    <w:basedOn w:val="a0"/>
    <w:link w:val="a5"/>
    <w:uiPriority w:val="99"/>
    <w:rsid w:val="00E57429"/>
  </w:style>
  <w:style w:type="character" w:customStyle="1" w:styleId="3Char">
    <w:name w:val="عنوان 3 Char"/>
    <w:basedOn w:val="a0"/>
    <w:link w:val="3"/>
    <w:uiPriority w:val="9"/>
    <w:rsid w:val="008479E4"/>
    <w:rPr>
      <w:rFonts w:ascii="Times New Roman" w:eastAsia="Times New Roman" w:hAnsi="Times New Roman" w:cs="Times New Roman"/>
      <w:b/>
      <w:bCs/>
      <w:sz w:val="27"/>
      <w:szCs w:val="27"/>
    </w:rPr>
  </w:style>
  <w:style w:type="table" w:styleId="a6">
    <w:name w:val="Table Grid"/>
    <w:basedOn w:val="a1"/>
    <w:uiPriority w:val="59"/>
    <w:rsid w:val="00025C6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Char"/>
    <w:uiPriority w:val="99"/>
    <w:unhideWhenUsed/>
    <w:rsid w:val="00025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025C62"/>
    <w:rPr>
      <w:rFonts w:ascii="Courier New" w:eastAsia="Times New Roman" w:hAnsi="Courier New" w:cs="Courier New"/>
      <w:sz w:val="20"/>
      <w:szCs w:val="20"/>
    </w:rPr>
  </w:style>
  <w:style w:type="character" w:customStyle="1" w:styleId="1Char">
    <w:name w:val="عنوان 1 Char"/>
    <w:basedOn w:val="a0"/>
    <w:link w:val="1"/>
    <w:uiPriority w:val="9"/>
    <w:rsid w:val="00DE00D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9978">
      <w:bodyDiv w:val="1"/>
      <w:marLeft w:val="0"/>
      <w:marRight w:val="0"/>
      <w:marTop w:val="0"/>
      <w:marBottom w:val="0"/>
      <w:divBdr>
        <w:top w:val="none" w:sz="0" w:space="0" w:color="auto"/>
        <w:left w:val="none" w:sz="0" w:space="0" w:color="auto"/>
        <w:bottom w:val="none" w:sz="0" w:space="0" w:color="auto"/>
        <w:right w:val="none" w:sz="0" w:space="0" w:color="auto"/>
      </w:divBdr>
    </w:div>
    <w:div w:id="309483092">
      <w:bodyDiv w:val="1"/>
      <w:marLeft w:val="0"/>
      <w:marRight w:val="0"/>
      <w:marTop w:val="0"/>
      <w:marBottom w:val="0"/>
      <w:divBdr>
        <w:top w:val="none" w:sz="0" w:space="0" w:color="auto"/>
        <w:left w:val="none" w:sz="0" w:space="0" w:color="auto"/>
        <w:bottom w:val="none" w:sz="0" w:space="0" w:color="auto"/>
        <w:right w:val="none" w:sz="0" w:space="0" w:color="auto"/>
      </w:divBdr>
    </w:div>
    <w:div w:id="585529113">
      <w:bodyDiv w:val="1"/>
      <w:marLeft w:val="0"/>
      <w:marRight w:val="0"/>
      <w:marTop w:val="0"/>
      <w:marBottom w:val="0"/>
      <w:divBdr>
        <w:top w:val="none" w:sz="0" w:space="0" w:color="auto"/>
        <w:left w:val="none" w:sz="0" w:space="0" w:color="auto"/>
        <w:bottom w:val="none" w:sz="0" w:space="0" w:color="auto"/>
        <w:right w:val="none" w:sz="0" w:space="0" w:color="auto"/>
      </w:divBdr>
    </w:div>
    <w:div w:id="778838284">
      <w:bodyDiv w:val="1"/>
      <w:marLeft w:val="0"/>
      <w:marRight w:val="0"/>
      <w:marTop w:val="0"/>
      <w:marBottom w:val="0"/>
      <w:divBdr>
        <w:top w:val="none" w:sz="0" w:space="0" w:color="auto"/>
        <w:left w:val="none" w:sz="0" w:space="0" w:color="auto"/>
        <w:bottom w:val="none" w:sz="0" w:space="0" w:color="auto"/>
        <w:right w:val="none" w:sz="0" w:space="0" w:color="auto"/>
      </w:divBdr>
    </w:div>
    <w:div w:id="1154295868">
      <w:bodyDiv w:val="1"/>
      <w:marLeft w:val="0"/>
      <w:marRight w:val="0"/>
      <w:marTop w:val="0"/>
      <w:marBottom w:val="0"/>
      <w:divBdr>
        <w:top w:val="none" w:sz="0" w:space="0" w:color="auto"/>
        <w:left w:val="none" w:sz="0" w:space="0" w:color="auto"/>
        <w:bottom w:val="none" w:sz="0" w:space="0" w:color="auto"/>
        <w:right w:val="none" w:sz="0" w:space="0" w:color="auto"/>
      </w:divBdr>
    </w:div>
    <w:div w:id="1209562598">
      <w:bodyDiv w:val="1"/>
      <w:marLeft w:val="0"/>
      <w:marRight w:val="0"/>
      <w:marTop w:val="0"/>
      <w:marBottom w:val="0"/>
      <w:divBdr>
        <w:top w:val="none" w:sz="0" w:space="0" w:color="auto"/>
        <w:left w:val="none" w:sz="0" w:space="0" w:color="auto"/>
        <w:bottom w:val="none" w:sz="0" w:space="0" w:color="auto"/>
        <w:right w:val="none" w:sz="0" w:space="0" w:color="auto"/>
      </w:divBdr>
    </w:div>
    <w:div w:id="182196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urancefraud.org/stats.htm" TargetMode="External"/><Relationship Id="rId18" Type="http://schemas.openxmlformats.org/officeDocument/2006/relationships/hyperlink" Target="https://en.wikipedia.org/wiki/International_Association_of_Insurance_Supervisors" TargetMode="External"/><Relationship Id="rId3" Type="http://schemas.openxmlformats.org/officeDocument/2006/relationships/styles" Target="styles.xml"/><Relationship Id="rId21" Type="http://schemas.openxmlformats.org/officeDocument/2006/relationships/hyperlink" Target="http://ju.coe.deep-knowledge.net/edsDetails?An=116292267&amp;dbId=bth" TargetMode="External"/><Relationship Id="rId7" Type="http://schemas.openxmlformats.org/officeDocument/2006/relationships/footnotes" Target="footnotes.xml"/><Relationship Id="rId12" Type="http://schemas.openxmlformats.org/officeDocument/2006/relationships/hyperlink" Target="Http://Www.Insurancefraud.Org/Article.Lasso?Recid=1532" TargetMode="External"/><Relationship Id="rId17" Type="http://schemas.openxmlformats.org/officeDocument/2006/relationships/hyperlink" Target="http://ju.coe.deep-knowledge.net/edsDetails?An=101685544&amp;dbId=bt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ju.coe.deep-knowledge.net/edsDetails?An=101685544&amp;dbId=bth" TargetMode="External"/><Relationship Id="rId20" Type="http://schemas.openxmlformats.org/officeDocument/2006/relationships/hyperlink" Target="http://ju.coe.deep-knowledge.net/edsDetails?An=36934863&amp;dbId=b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coe.deep-knowledge.net/edsDetails?An=12492983&amp;dbId=bt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ju.coe.deep-knowledge.net/edsDetails?An=101685544&amp;dbId=bth" TargetMode="External"/><Relationship Id="rId23" Type="http://schemas.openxmlformats.org/officeDocument/2006/relationships/footer" Target="footer1.xml"/><Relationship Id="rId10" Type="http://schemas.openxmlformats.org/officeDocument/2006/relationships/hyperlink" Target="http://ju.coe.deep-knowledge.net/edsDetails?An=12492983&amp;dbId=bth" TargetMode="External"/><Relationship Id="rId19" Type="http://schemas.openxmlformats.org/officeDocument/2006/relationships/hyperlink" Target="http://ju.coe.deep-knowledge.net/edsDetails?An=36934863&amp;dbId=bth" TargetMode="External"/><Relationship Id="rId4" Type="http://schemas.microsoft.com/office/2007/relationships/stylesWithEffects" Target="stylesWithEffects.xml"/><Relationship Id="rId9" Type="http://schemas.openxmlformats.org/officeDocument/2006/relationships/hyperlink" Target="mailto:f_rawashdeh@ju.edu.jo" TargetMode="External"/><Relationship Id="rId14" Type="http://schemas.openxmlformats.org/officeDocument/2006/relationships/hyperlink" Target="http://ju.coe.deep-knowledge.net/edsDetails?An=101685544&amp;dbId=bth" TargetMode="External"/><Relationship Id="rId22" Type="http://schemas.openxmlformats.org/officeDocument/2006/relationships/hyperlink" Target="http://ju.coe.deep-knowledge.net/edsDetails?An=116292267&amp;dbId=bth"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C1C8-5FDF-4E5A-B7E2-DBBBB672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7134</Words>
  <Characters>40666</Characters>
  <Application>Microsoft Office Word</Application>
  <DocSecurity>0</DocSecurity>
  <Lines>338</Lines>
  <Paragraphs>95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فراس الصعيو</Company>
  <LinksUpToDate>false</LinksUpToDate>
  <CharactersWithSpaces>47705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dc:creator>
  <cp:lastModifiedBy>mega</cp:lastModifiedBy>
  <cp:revision>19</cp:revision>
  <dcterms:created xsi:type="dcterms:W3CDTF">2017-01-14T11:48:00Z</dcterms:created>
  <dcterms:modified xsi:type="dcterms:W3CDTF">2017-01-14T12:03:00Z</dcterms:modified>
</cp:coreProperties>
</file>